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963" w14:textId="5A998044" w:rsidR="000F25A6" w:rsidRDefault="00F22984" w:rsidP="00BC0FB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33E72E6E">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w:t>
      </w:r>
      <w:r w:rsidR="00BC0FBD">
        <w:rPr>
          <w:rFonts w:asciiTheme="majorHAnsi" w:hAnsiTheme="majorHAnsi" w:cstheme="majorHAnsi"/>
          <w:b/>
          <w:color w:val="002060"/>
          <w:sz w:val="36"/>
          <w:szCs w:val="36"/>
        </w:rPr>
        <w:t>T</w:t>
      </w:r>
      <w:r w:rsidR="00D873C4">
        <w:rPr>
          <w:rFonts w:asciiTheme="majorHAnsi" w:hAnsiTheme="majorHAnsi" w:cstheme="majorHAnsi"/>
          <w:b/>
          <w:color w:val="002060"/>
          <w:sz w:val="36"/>
          <w:szCs w:val="36"/>
        </w:rPr>
        <w:t xml:space="preserve">eaching </w:t>
      </w:r>
      <w:r w:rsidR="00BC0FBD">
        <w:rPr>
          <w:rFonts w:asciiTheme="majorHAnsi" w:hAnsiTheme="majorHAnsi" w:cstheme="majorHAnsi"/>
          <w:b/>
          <w:color w:val="002060"/>
          <w:sz w:val="36"/>
          <w:szCs w:val="36"/>
        </w:rPr>
        <w:t>A</w:t>
      </w:r>
      <w:r w:rsidR="00D873C4">
        <w:rPr>
          <w:rFonts w:asciiTheme="majorHAnsi" w:hAnsiTheme="majorHAnsi" w:cstheme="majorHAnsi"/>
          <w:b/>
          <w:color w:val="002060"/>
          <w:sz w:val="36"/>
          <w:szCs w:val="36"/>
        </w:rPr>
        <w:t>ssistant (</w:t>
      </w:r>
      <w:r w:rsidR="00BC0FBD">
        <w:rPr>
          <w:rFonts w:asciiTheme="majorHAnsi" w:hAnsiTheme="majorHAnsi" w:cstheme="majorHAnsi"/>
          <w:b/>
          <w:color w:val="002060"/>
          <w:sz w:val="36"/>
          <w:szCs w:val="36"/>
        </w:rPr>
        <w:t>L</w:t>
      </w:r>
      <w:r w:rsidR="00D873C4">
        <w:rPr>
          <w:rFonts w:asciiTheme="majorHAnsi" w:hAnsiTheme="majorHAnsi" w:cstheme="majorHAnsi"/>
          <w:b/>
          <w:color w:val="002060"/>
          <w:sz w:val="36"/>
          <w:szCs w:val="36"/>
        </w:rPr>
        <w:t>iteracy)</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07A442ED"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5E0201">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5E0201" w14:paraId="79FB397C" w14:textId="77777777">
        <w:trPr>
          <w:trHeight w:val="220"/>
        </w:trPr>
        <w:tc>
          <w:tcPr>
            <w:tcW w:w="1985" w:type="dxa"/>
          </w:tcPr>
          <w:p w14:paraId="092EEA37" w14:textId="6E613F26" w:rsidR="005E0201" w:rsidRDefault="005E0201">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7DBE55E" w14:textId="296287A0" w:rsidR="005E0201" w:rsidRDefault="005E0201">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0F25A6" w14:paraId="21125619" w14:textId="77777777">
        <w:trPr>
          <w:trHeight w:val="220"/>
        </w:trPr>
        <w:tc>
          <w:tcPr>
            <w:tcW w:w="1985" w:type="dxa"/>
          </w:tcPr>
          <w:p w14:paraId="30A9E6E1" w14:textId="1848E4F1"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5E020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010B1431" w14:textId="4F3BEB1C"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Grade </w:t>
            </w:r>
            <w:r w:rsidR="00DF160D">
              <w:rPr>
                <w:rFonts w:asciiTheme="majorHAnsi" w:hAnsiTheme="majorHAnsi" w:cstheme="majorHAnsi"/>
                <w:color w:val="002060"/>
              </w:rPr>
              <w:t>9</w:t>
            </w:r>
            <w:r w:rsidR="00FC7262">
              <w:rPr>
                <w:rFonts w:asciiTheme="majorHAnsi" w:hAnsiTheme="majorHAnsi" w:cstheme="majorHAnsi"/>
                <w:color w:val="002060"/>
              </w:rPr>
              <w:t xml:space="preserve"> </w:t>
            </w:r>
          </w:p>
        </w:tc>
      </w:tr>
      <w:tr w:rsidR="000F25A6" w14:paraId="22EBC83B" w14:textId="77777777">
        <w:trPr>
          <w:trHeight w:val="294"/>
        </w:trPr>
        <w:tc>
          <w:tcPr>
            <w:tcW w:w="1985" w:type="dxa"/>
          </w:tcPr>
          <w:p w14:paraId="4DFAC1B0" w14:textId="3BD3B57D" w:rsidR="000F25A6" w:rsidRDefault="00844476">
            <w:pPr>
              <w:spacing w:after="0" w:line="240" w:lineRule="auto"/>
              <w:ind w:left="67"/>
              <w:rPr>
                <w:rFonts w:asciiTheme="majorHAnsi" w:hAnsiTheme="majorHAnsi" w:cstheme="majorHAnsi"/>
                <w:b/>
                <w:color w:val="002060"/>
              </w:rPr>
            </w:pPr>
            <w:r>
              <w:rPr>
                <w:rFonts w:asciiTheme="majorHAnsi" w:hAnsiTheme="majorHAnsi" w:cstheme="majorHAnsi"/>
                <w:b/>
                <w:color w:val="002060"/>
              </w:rPr>
              <w:t>Reports to</w:t>
            </w:r>
            <w:r w:rsidR="00F22984">
              <w:rPr>
                <w:rFonts w:asciiTheme="majorHAnsi" w:hAnsiTheme="majorHAnsi" w:cstheme="majorHAnsi"/>
                <w:b/>
                <w:color w:val="002060"/>
              </w:rPr>
              <w:t>:</w:t>
            </w:r>
          </w:p>
        </w:tc>
        <w:tc>
          <w:tcPr>
            <w:tcW w:w="7933" w:type="dxa"/>
          </w:tcPr>
          <w:p w14:paraId="27E54DF0" w14:textId="29D65096" w:rsidR="007A5C9F" w:rsidRDefault="00EC4D9C"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SENDCo</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3B8E5131" w14:textId="466D9D61" w:rsidR="008D206A" w:rsidRDefault="008D206A" w:rsidP="00BC0FBD">
            <w:p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Responsible for supporting the teaching and learning of literacy to students in lessons and small group interventions for children with literacy needs and/or difficulties.  Responsible for the arrangements and implementation of access arrangements for students across the  </w:t>
            </w:r>
          </w:p>
          <w:p w14:paraId="13A7B2D4" w14:textId="009A53D2" w:rsidR="000F25A6" w:rsidRDefault="008D206A" w:rsidP="00BC0FBD">
            <w:pPr>
              <w:spacing w:after="0" w:line="240" w:lineRule="auto"/>
              <w:ind w:right="228"/>
              <w:rPr>
                <w:rFonts w:asciiTheme="majorHAnsi" w:hAnsiTheme="majorHAnsi" w:cstheme="majorHAnsi"/>
                <w:color w:val="002060"/>
              </w:rPr>
            </w:pPr>
            <w:r>
              <w:rPr>
                <w:rFonts w:asciiTheme="majorHAnsi" w:hAnsiTheme="majorHAnsi" w:cstheme="majorHAnsi"/>
                <w:color w:val="002060"/>
              </w:rPr>
              <w:t>school.</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2D43B" w14:textId="77777777" w:rsidR="00937536" w:rsidRPr="00FE3C5F" w:rsidRDefault="00937536" w:rsidP="00937536">
            <w:pPr>
              <w:pStyle w:val="ListParagraph"/>
              <w:numPr>
                <w:ilvl w:val="0"/>
                <w:numId w:val="17"/>
              </w:numPr>
              <w:jc w:val="both"/>
              <w:rPr>
                <w:rFonts w:asciiTheme="majorHAnsi" w:hAnsiTheme="majorHAnsi" w:cstheme="majorHAnsi"/>
                <w:color w:val="1F3864" w:themeColor="accent5" w:themeShade="80"/>
              </w:rPr>
            </w:pPr>
            <w:r w:rsidRPr="00FE3C5F">
              <w:rPr>
                <w:rFonts w:asciiTheme="majorHAnsi" w:hAnsiTheme="majorHAnsi" w:cstheme="majorHAnsi"/>
                <w:color w:val="1F3864" w:themeColor="accent5" w:themeShade="80"/>
              </w:rPr>
              <w:t>To assist our teaching staff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61D4937A" w14:textId="77777777" w:rsidR="00937536" w:rsidRDefault="00937536" w:rsidP="00937536">
            <w:pPr>
              <w:pStyle w:val="ListParagraph"/>
              <w:numPr>
                <w:ilvl w:val="0"/>
                <w:numId w:val="17"/>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Pr="00FE3C5F">
              <w:rPr>
                <w:rFonts w:asciiTheme="majorHAnsi" w:hAnsiTheme="majorHAnsi" w:cstheme="majorHAnsi"/>
                <w:color w:val="1F3864" w:themeColor="accent5" w:themeShade="80"/>
              </w:rPr>
              <w:t>ork with students, either individually or in groups, who have some special educational needs, learning difficulty, disability, or exhibit occasional behavioural problems.  This may include students with a high learning ability (‘More Able’).</w:t>
            </w:r>
          </w:p>
          <w:p w14:paraId="332AAA6E" w14:textId="77777777" w:rsidR="00937536" w:rsidRDefault="00937536" w:rsidP="00937536">
            <w:pPr>
              <w:pStyle w:val="ListParagraph"/>
              <w:numPr>
                <w:ilvl w:val="0"/>
                <w:numId w:val="17"/>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w:t>
            </w:r>
            <w:r w:rsidRPr="00FE3C5F">
              <w:rPr>
                <w:rFonts w:asciiTheme="majorHAnsi" w:hAnsiTheme="majorHAnsi" w:cstheme="majorHAnsi"/>
                <w:color w:val="1F3864" w:themeColor="accent5" w:themeShade="80"/>
              </w:rPr>
              <w:t>omplement the professional work of qualified teachers by taking responsibility for agreed learning activities under an agreed system of supervision.</w:t>
            </w:r>
          </w:p>
          <w:p w14:paraId="06D90226" w14:textId="56ADA99B" w:rsidR="00937536" w:rsidRDefault="00937536" w:rsidP="00937536">
            <w:pPr>
              <w:pStyle w:val="ListParagraph"/>
              <w:numPr>
                <w:ilvl w:val="0"/>
                <w:numId w:val="17"/>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Play a </w:t>
            </w:r>
            <w:r w:rsidRPr="00FE3C5F">
              <w:rPr>
                <w:rFonts w:asciiTheme="majorHAnsi" w:hAnsiTheme="majorHAnsi" w:cstheme="majorHAnsi"/>
                <w:color w:val="1F3864" w:themeColor="accent5" w:themeShade="80"/>
              </w:rPr>
              <w:t xml:space="preserve">significant role in the planning, delivery and monitoring of learning activities in lessons, particularly </w:t>
            </w:r>
            <w:r w:rsidR="00BC0FBD">
              <w:rPr>
                <w:rFonts w:asciiTheme="majorHAnsi" w:hAnsiTheme="majorHAnsi" w:cstheme="majorHAnsi"/>
                <w:color w:val="1F3864" w:themeColor="accent5" w:themeShade="80"/>
              </w:rPr>
              <w:t>L</w:t>
            </w:r>
            <w:r>
              <w:rPr>
                <w:rFonts w:asciiTheme="majorHAnsi" w:hAnsiTheme="majorHAnsi" w:cstheme="majorHAnsi"/>
                <w:color w:val="1F3864" w:themeColor="accent5" w:themeShade="80"/>
              </w:rPr>
              <w:t>iteracy</w:t>
            </w:r>
            <w:r w:rsidRPr="00FE3C5F">
              <w:rPr>
                <w:rFonts w:asciiTheme="majorHAnsi" w:hAnsiTheme="majorHAnsi" w:cstheme="majorHAnsi"/>
                <w:color w:val="1F3864" w:themeColor="accent5" w:themeShade="80"/>
              </w:rPr>
              <w:t xml:space="preserve"> lessons.</w:t>
            </w:r>
          </w:p>
          <w:p w14:paraId="4E342A85" w14:textId="77777777" w:rsidR="00937536" w:rsidRDefault="00937536" w:rsidP="00937536">
            <w:pPr>
              <w:pStyle w:val="ListParagraph"/>
              <w:numPr>
                <w:ilvl w:val="0"/>
                <w:numId w:val="17"/>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Pr="00FE3C5F">
              <w:rPr>
                <w:rFonts w:asciiTheme="majorHAnsi" w:hAnsiTheme="majorHAnsi" w:cstheme="majorHAnsi"/>
                <w:color w:val="1F3864" w:themeColor="accent5" w:themeShade="80"/>
              </w:rPr>
              <w:t xml:space="preserve">orking with individuals or small classes without the presence of the teacher. </w:t>
            </w:r>
          </w:p>
          <w:p w14:paraId="42500B6E" w14:textId="77777777" w:rsidR="00937536" w:rsidRPr="004A7D0F" w:rsidRDefault="00937536" w:rsidP="00937536">
            <w:pPr>
              <w:pStyle w:val="ListParagraph"/>
              <w:numPr>
                <w:ilvl w:val="0"/>
                <w:numId w:val="1"/>
              </w:numPr>
              <w:spacing w:after="0" w:line="240" w:lineRule="auto"/>
              <w:ind w:left="503"/>
              <w:jc w:val="both"/>
              <w:rPr>
                <w:rFonts w:asciiTheme="majorHAnsi" w:hAnsiTheme="majorHAnsi" w:cstheme="majorHAnsi"/>
                <w:bCs/>
                <w:color w:val="1F3864" w:themeColor="accent5" w:themeShade="80"/>
              </w:rPr>
            </w:pPr>
            <w:r w:rsidRPr="00FE3C5F">
              <w:rPr>
                <w:rFonts w:asciiTheme="majorHAnsi" w:hAnsiTheme="majorHAnsi" w:cstheme="majorHAnsi"/>
                <w:color w:val="1F3864" w:themeColor="accent5" w:themeShade="80"/>
              </w:rPr>
              <w:t>Support the assigned teacher(s)</w:t>
            </w:r>
            <w:r>
              <w:rPr>
                <w:rFonts w:asciiTheme="majorHAnsi" w:hAnsiTheme="majorHAnsi" w:cstheme="majorHAnsi"/>
                <w:color w:val="1F3864" w:themeColor="accent5" w:themeShade="80"/>
              </w:rPr>
              <w:t>, as directed.</w:t>
            </w:r>
          </w:p>
          <w:p w14:paraId="13D35002" w14:textId="2D83B5A2" w:rsidR="00937536" w:rsidRPr="004A7D0F" w:rsidRDefault="00937536" w:rsidP="00937536">
            <w:pPr>
              <w:pStyle w:val="ListParagraph"/>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color w:val="1F3864" w:themeColor="accent5" w:themeShade="80"/>
              </w:rPr>
              <w:t xml:space="preserve">Support the planning, delivery and recording of interventions in line with Education, Health and Care </w:t>
            </w:r>
            <w:r w:rsidR="00BC0FBD">
              <w:rPr>
                <w:rFonts w:asciiTheme="majorHAnsi" w:hAnsiTheme="majorHAnsi" w:cstheme="majorHAnsi"/>
                <w:color w:val="1F3864" w:themeColor="accent5" w:themeShade="80"/>
              </w:rPr>
              <w:t>P</w:t>
            </w:r>
            <w:r>
              <w:rPr>
                <w:rFonts w:asciiTheme="majorHAnsi" w:hAnsiTheme="majorHAnsi" w:cstheme="majorHAnsi"/>
                <w:color w:val="1F3864" w:themeColor="accent5" w:themeShade="80"/>
              </w:rPr>
              <w:t xml:space="preserve">lans. </w:t>
            </w:r>
          </w:p>
          <w:p w14:paraId="2CB1166C" w14:textId="77777777" w:rsidR="00937536" w:rsidRPr="00486DB2" w:rsidRDefault="00937536" w:rsidP="00937536">
            <w:pPr>
              <w:pStyle w:val="ListParagraph"/>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color w:val="1F3864" w:themeColor="accent5" w:themeShade="80"/>
              </w:rPr>
              <w:t xml:space="preserve">Support the planning, delivery and recording of </w:t>
            </w:r>
            <w:r>
              <w:rPr>
                <w:rFonts w:asciiTheme="majorHAnsi" w:hAnsiTheme="majorHAnsi" w:cstheme="majorHAnsi"/>
                <w:bCs/>
                <w:color w:val="1F3864" w:themeColor="accent5" w:themeShade="80"/>
              </w:rPr>
              <w:t xml:space="preserve">essential literacy skills following summative assessments. </w:t>
            </w:r>
          </w:p>
          <w:p w14:paraId="20B601D5" w14:textId="30DBD34E" w:rsidR="00937536" w:rsidRDefault="00937536" w:rsidP="00937536">
            <w:pPr>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bCs/>
                <w:color w:val="1F3864" w:themeColor="accent5" w:themeShade="80"/>
              </w:rPr>
              <w:t>Support the planning</w:t>
            </w:r>
            <w:r w:rsidRPr="009F2F86">
              <w:rPr>
                <w:rFonts w:asciiTheme="majorHAnsi" w:hAnsiTheme="majorHAnsi" w:cstheme="majorHAnsi"/>
                <w:bCs/>
                <w:color w:val="1F3864" w:themeColor="accent5" w:themeShade="80"/>
              </w:rPr>
              <w:t xml:space="preserve"> and deliver</w:t>
            </w:r>
            <w:r>
              <w:rPr>
                <w:rFonts w:asciiTheme="majorHAnsi" w:hAnsiTheme="majorHAnsi" w:cstheme="majorHAnsi"/>
                <w:bCs/>
                <w:color w:val="1F3864" w:themeColor="accent5" w:themeShade="80"/>
              </w:rPr>
              <w:t>y of</w:t>
            </w:r>
            <w:r w:rsidRPr="009F2F86">
              <w:rPr>
                <w:rFonts w:asciiTheme="majorHAnsi" w:hAnsiTheme="majorHAnsi" w:cstheme="majorHAnsi"/>
                <w:bCs/>
                <w:color w:val="1F3864" w:themeColor="accent5" w:themeShade="80"/>
              </w:rPr>
              <w:t xml:space="preserve"> Entry Level and then Functional Skills Level 1 and 2</w:t>
            </w:r>
            <w:r>
              <w:rPr>
                <w:rFonts w:asciiTheme="majorHAnsi" w:hAnsiTheme="majorHAnsi" w:cstheme="majorHAnsi"/>
                <w:bCs/>
                <w:color w:val="1F3864" w:themeColor="accent5" w:themeShade="80"/>
              </w:rPr>
              <w:t xml:space="preserve"> English</w:t>
            </w:r>
            <w:r w:rsidRPr="009F2F86">
              <w:rPr>
                <w:rFonts w:asciiTheme="majorHAnsi" w:hAnsiTheme="majorHAnsi" w:cstheme="majorHAnsi"/>
                <w:bCs/>
                <w:color w:val="1F3864" w:themeColor="accent5" w:themeShade="80"/>
              </w:rPr>
              <w:t>.</w:t>
            </w:r>
          </w:p>
          <w:p w14:paraId="0170FEA2" w14:textId="77777777" w:rsidR="00937536" w:rsidRDefault="00937536" w:rsidP="00937536">
            <w:pPr>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bCs/>
                <w:color w:val="1F3864" w:themeColor="accent5" w:themeShade="80"/>
              </w:rPr>
              <w:t xml:space="preserve">Assess and implement access arrangements to the Joint Council for Qualifications standards. </w:t>
            </w:r>
          </w:p>
          <w:p w14:paraId="66E52D71" w14:textId="77777777" w:rsidR="00937536" w:rsidRDefault="00937536" w:rsidP="00937536">
            <w:pPr>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bCs/>
                <w:color w:val="1F3864" w:themeColor="accent5" w:themeShade="80"/>
              </w:rPr>
              <w:t xml:space="preserve">Liaise with the SENDCo, pastoral teams and exam team to support the coordination of access arrangements for assessments and formal examinations. </w:t>
            </w:r>
          </w:p>
          <w:p w14:paraId="010D48C8" w14:textId="77777777" w:rsidR="00937536" w:rsidRDefault="00937536" w:rsidP="00937536">
            <w:pPr>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bCs/>
                <w:color w:val="1F3864" w:themeColor="accent5" w:themeShade="80"/>
              </w:rPr>
              <w:t xml:space="preserve">Communicate effectively with parents and key stakeholders with all matters regarding access arrangements. </w:t>
            </w:r>
          </w:p>
          <w:p w14:paraId="75ADE1D7" w14:textId="77777777" w:rsidR="00937536" w:rsidRDefault="00937536" w:rsidP="00937536">
            <w:pPr>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bCs/>
                <w:color w:val="1F3864" w:themeColor="accent5" w:themeShade="80"/>
              </w:rPr>
              <w:t>Keep accurate and up to date records of students access arrangements.</w:t>
            </w:r>
          </w:p>
          <w:p w14:paraId="7653B7B4" w14:textId="195D1515" w:rsidR="000F25A6" w:rsidRDefault="002D1F78">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Cs/>
                <w:color w:val="1F3864" w:themeColor="accent5" w:themeShade="80"/>
              </w:rPr>
              <w:t xml:space="preserve">       </w:t>
            </w:r>
            <w:r w:rsidR="00937536">
              <w:rPr>
                <w:rFonts w:asciiTheme="majorHAnsi" w:hAnsiTheme="majorHAnsi" w:cstheme="majorHAnsi"/>
                <w:bCs/>
                <w:color w:val="1F3864" w:themeColor="accent5" w:themeShade="80"/>
              </w:rPr>
              <w:t xml:space="preserve">Support students to use access arrangements effectively through training or other means. </w:t>
            </w:r>
          </w:p>
          <w:p w14:paraId="780483BA" w14:textId="77777777" w:rsidR="000F25A6" w:rsidRDefault="000F25A6" w:rsidP="002D1F78">
            <w:pPr>
              <w:spacing w:after="0" w:line="240" w:lineRule="auto"/>
              <w:ind w:right="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lastRenderedPageBreak/>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1D220D64" w14:textId="77777777" w:rsidR="00F5762C" w:rsidRDefault="00F5762C" w:rsidP="00F5762C">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3E687398" w14:textId="7876585A"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 xml:space="preserve">Minimum 5 GCSEs (A-C), including Maths and English, or equivalent </w:t>
            </w:r>
            <w:r w:rsidR="00BC0FBD">
              <w:rPr>
                <w:rFonts w:ascii="Calibri Light" w:hAnsi="Calibri Light" w:cs="Calibri Light"/>
                <w:bCs/>
                <w:color w:val="1F3864" w:themeColor="accent5" w:themeShade="80"/>
              </w:rPr>
              <w:t xml:space="preserve">qualifications/grades </w:t>
            </w:r>
            <w:r w:rsidRPr="00BC7EC8">
              <w:rPr>
                <w:rFonts w:ascii="Calibri Light" w:hAnsi="Calibri Light" w:cs="Calibri Light"/>
                <w:bCs/>
                <w:color w:val="1F3864" w:themeColor="accent5" w:themeShade="80"/>
              </w:rPr>
              <w:t>(e.g. NVQ Level 2).</w:t>
            </w:r>
          </w:p>
          <w:p w14:paraId="482765E2"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Pr>
                <w:rFonts w:asciiTheme="majorHAnsi" w:hAnsiTheme="majorHAnsi" w:cstheme="majorHAnsi"/>
                <w:bCs/>
                <w:color w:val="1F3864" w:themeColor="accent5" w:themeShade="80"/>
              </w:rPr>
              <w:t>T</w:t>
            </w:r>
            <w:r w:rsidRPr="00470595">
              <w:rPr>
                <w:rFonts w:asciiTheme="majorHAnsi" w:hAnsiTheme="majorHAnsi" w:cstheme="majorHAnsi"/>
                <w:bCs/>
                <w:color w:val="1F3864" w:themeColor="accent5" w:themeShade="80"/>
              </w:rPr>
              <w:t>o hold a relevant Level 7 qualification in specialist assessment</w:t>
            </w:r>
            <w:r>
              <w:rPr>
                <w:rFonts w:asciiTheme="majorHAnsi" w:hAnsiTheme="majorHAnsi" w:cstheme="majorHAnsi"/>
                <w:bCs/>
                <w:color w:val="1F3864" w:themeColor="accent5" w:themeShade="80"/>
              </w:rPr>
              <w:t xml:space="preserve"> or</w:t>
            </w:r>
            <w:r w:rsidRPr="00470595">
              <w:rPr>
                <w:rFonts w:asciiTheme="majorHAnsi" w:hAnsiTheme="majorHAnsi" w:cstheme="majorHAnsi"/>
                <w:bCs/>
                <w:color w:val="1F3864" w:themeColor="accent5" w:themeShade="80"/>
              </w:rPr>
              <w:t xml:space="preserve"> hold a current SpLD Assessment Practising Certificate. </w:t>
            </w:r>
          </w:p>
          <w:p w14:paraId="2A7C7CE0"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motivate pupils and support learning processes and procedures effectively.</w:t>
            </w:r>
          </w:p>
          <w:p w14:paraId="04CF54D3"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Skilled in promoting and maintaining order, calmness, and positive behavio</w:t>
            </w:r>
            <w:r>
              <w:rPr>
                <w:rFonts w:ascii="Calibri Light" w:hAnsi="Calibri Light" w:cs="Calibri Light"/>
                <w:bCs/>
                <w:color w:val="1F3864" w:themeColor="accent5" w:themeShade="80"/>
              </w:rPr>
              <w:t>u</w:t>
            </w:r>
            <w:r w:rsidRPr="00BC7EC8">
              <w:rPr>
                <w:rFonts w:ascii="Calibri Light" w:hAnsi="Calibri Light" w:cs="Calibri Light"/>
                <w:bCs/>
                <w:color w:val="1F3864" w:themeColor="accent5" w:themeShade="80"/>
              </w:rPr>
              <w:t>r.</w:t>
            </w:r>
          </w:p>
          <w:p w14:paraId="20F5E604" w14:textId="77777777" w:rsidR="00F5762C" w:rsidRPr="00BC7EC8" w:rsidRDefault="00F5762C" w:rsidP="00F5762C">
            <w:pPr>
              <w:pStyle w:val="ListParagraph"/>
              <w:numPr>
                <w:ilvl w:val="0"/>
                <w:numId w:val="9"/>
              </w:numPr>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Knowledge of strategies to promote and support good behaviour.</w:t>
            </w:r>
          </w:p>
          <w:p w14:paraId="1485E63F"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Comprehensive understanding of child safeguarding practices.</w:t>
            </w:r>
          </w:p>
          <w:p w14:paraId="6FDEBA9A"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think creatively to deliver engaging and innovative learning experiences.</w:t>
            </w:r>
          </w:p>
          <w:p w14:paraId="4EA99D3B"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Strong ability to work collaboratively and supportively within a team.</w:t>
            </w:r>
          </w:p>
          <w:p w14:paraId="5C01C0DD"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Capable of working on own initiative while remaining flexible and responsive.</w:t>
            </w:r>
          </w:p>
          <w:p w14:paraId="4A50D5B8"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Excellent interpersonal and communication skills, fostering effective relationships with students, parents, staff, and the wider community.</w:t>
            </w:r>
          </w:p>
          <w:p w14:paraId="1A23E237"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Maintains high standards of integrity, discretion, and professionalism, consistently modelling school values.</w:t>
            </w:r>
          </w:p>
          <w:p w14:paraId="6DAA20CF"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Focuses on students' overall well-being and educational needs.</w:t>
            </w:r>
          </w:p>
          <w:p w14:paraId="32B99452"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work under pressure, manage time effectively, and handle challenges with resilience.</w:t>
            </w:r>
          </w:p>
          <w:p w14:paraId="147BCFA7"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Dedicated to providing equal opportunities and meeting individual needs.</w:t>
            </w:r>
          </w:p>
          <w:p w14:paraId="6CDA068B" w14:textId="77777777" w:rsidR="00F5762C"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Actively committed to ongoing learning and self-improvement.</w:t>
            </w:r>
          </w:p>
          <w:p w14:paraId="0339EA47" w14:textId="77777777" w:rsidR="00F5762C" w:rsidRDefault="00F5762C" w:rsidP="00F5762C">
            <w:pPr>
              <w:spacing w:after="0" w:line="240" w:lineRule="auto"/>
              <w:rPr>
                <w:rFonts w:ascii="Calibri Light" w:hAnsi="Calibri Light" w:cs="Calibri Light"/>
                <w:b/>
                <w:color w:val="1F3864" w:themeColor="accent5" w:themeShade="80"/>
              </w:rPr>
            </w:pPr>
          </w:p>
          <w:p w14:paraId="5FDD48EF" w14:textId="77777777" w:rsidR="00F5762C" w:rsidRDefault="00F5762C" w:rsidP="00F5762C">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743D9EF" w14:textId="77777777" w:rsidR="00F5762C" w:rsidRPr="00FE3C5F" w:rsidRDefault="00F5762C" w:rsidP="00F5762C">
            <w:pPr>
              <w:pStyle w:val="ListParagraph"/>
              <w:numPr>
                <w:ilvl w:val="0"/>
                <w:numId w:val="9"/>
              </w:numPr>
              <w:spacing w:after="0" w:line="240" w:lineRule="auto"/>
              <w:ind w:right="228"/>
              <w:rPr>
                <w:rFonts w:asciiTheme="majorHAnsi" w:hAnsiTheme="majorHAnsi" w:cstheme="majorHAnsi"/>
                <w:b/>
                <w:color w:val="002060"/>
              </w:rPr>
            </w:pPr>
            <w:r w:rsidRPr="00FE3C5F">
              <w:rPr>
                <w:rFonts w:ascii="Calibri Light" w:hAnsi="Calibri Light" w:cs="Calibri Light"/>
                <w:color w:val="1F3864" w:themeColor="accent5" w:themeShade="80"/>
              </w:rPr>
              <w:t>Ability to use ICT effectively to support learning</w:t>
            </w:r>
          </w:p>
          <w:p w14:paraId="377F1483" w14:textId="77777777" w:rsidR="00CA0346" w:rsidRDefault="00CA0346" w:rsidP="00F5762C">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CA0346" w:rsidRDefault="00CA0346" w:rsidP="00F5762C">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CA0346" w:rsidRDefault="00CA0346" w:rsidP="00CA034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rsidP="00BC0FBD">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F1B25" w:rsidRPr="00E46D70" w14:paraId="4B9AA2F2" w14:textId="77777777" w:rsidTr="005F1B25">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36257A5A"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5E0201" w:rsidRPr="00E46D70" w14:paraId="3DEA9651" w14:textId="77777777" w:rsidTr="00BC0FBD">
        <w:trPr>
          <w:trHeight w:val="662"/>
        </w:trPr>
        <w:tc>
          <w:tcPr>
            <w:tcW w:w="10060" w:type="dxa"/>
            <w:tcBorders>
              <w:top w:val="single" w:sz="4" w:space="0" w:color="000000"/>
              <w:left w:val="single" w:sz="4" w:space="0" w:color="000000"/>
              <w:bottom w:val="single" w:sz="4" w:space="0" w:color="000000"/>
              <w:right w:val="single" w:sz="4" w:space="0" w:color="000000"/>
            </w:tcBorders>
          </w:tcPr>
          <w:p w14:paraId="1B704A99" w14:textId="551481B2" w:rsidR="005E0201" w:rsidRPr="0043509E" w:rsidRDefault="005E0201" w:rsidP="00BC0FBD">
            <w:pPr>
              <w:pStyle w:val="ListParagraph"/>
              <w:numPr>
                <w:ilvl w:val="0"/>
                <w:numId w:val="2"/>
              </w:numPr>
              <w:spacing w:after="0" w:line="240" w:lineRule="auto"/>
              <w:ind w:right="0"/>
              <w:rPr>
                <w:rFonts w:asciiTheme="majorHAnsi" w:hAnsiTheme="majorHAnsi" w:cstheme="majorHAnsi"/>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tc>
      </w:tr>
    </w:tbl>
    <w:p w14:paraId="1F32507D" w14:textId="77777777" w:rsidR="000F25A6" w:rsidRDefault="000F25A6" w:rsidP="00BC0FBD"/>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5E10" w14:textId="77777777" w:rsidR="00E95F8B" w:rsidRDefault="00E95F8B" w:rsidP="00FC7262">
      <w:pPr>
        <w:spacing w:after="0" w:line="240" w:lineRule="auto"/>
      </w:pPr>
      <w:r>
        <w:separator/>
      </w:r>
    </w:p>
  </w:endnote>
  <w:endnote w:type="continuationSeparator" w:id="0">
    <w:p w14:paraId="56F1C05C" w14:textId="77777777" w:rsidR="00E95F8B" w:rsidRDefault="00E95F8B"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84BD" w14:textId="77777777" w:rsidR="00E95F8B" w:rsidRDefault="00E95F8B" w:rsidP="00FC7262">
      <w:pPr>
        <w:spacing w:after="0" w:line="240" w:lineRule="auto"/>
      </w:pPr>
      <w:r>
        <w:separator/>
      </w:r>
    </w:p>
  </w:footnote>
  <w:footnote w:type="continuationSeparator" w:id="0">
    <w:p w14:paraId="512C749B" w14:textId="77777777" w:rsidR="00E95F8B" w:rsidRDefault="00E95F8B"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53926"/>
    <w:multiLevelType w:val="hybridMultilevel"/>
    <w:tmpl w:val="5018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63F44520"/>
    <w:multiLevelType w:val="hybridMultilevel"/>
    <w:tmpl w:val="2E6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73030C4B"/>
    <w:multiLevelType w:val="hybridMultilevel"/>
    <w:tmpl w:val="1CD801F6"/>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16"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682588133">
    <w:abstractNumId w:val="5"/>
  </w:num>
  <w:num w:numId="2" w16cid:durableId="1718434616">
    <w:abstractNumId w:val="7"/>
  </w:num>
  <w:num w:numId="3" w16cid:durableId="1644963863">
    <w:abstractNumId w:val="2"/>
  </w:num>
  <w:num w:numId="4" w16cid:durableId="2136681499">
    <w:abstractNumId w:val="3"/>
  </w:num>
  <w:num w:numId="5" w16cid:durableId="1673724008">
    <w:abstractNumId w:val="18"/>
  </w:num>
  <w:num w:numId="6" w16cid:durableId="1763984765">
    <w:abstractNumId w:val="6"/>
  </w:num>
  <w:num w:numId="7" w16cid:durableId="1719359778">
    <w:abstractNumId w:val="0"/>
  </w:num>
  <w:num w:numId="8" w16cid:durableId="1415131333">
    <w:abstractNumId w:val="16"/>
  </w:num>
  <w:num w:numId="9" w16cid:durableId="1830096214">
    <w:abstractNumId w:val="17"/>
  </w:num>
  <w:num w:numId="10" w16cid:durableId="1476097760">
    <w:abstractNumId w:val="13"/>
  </w:num>
  <w:num w:numId="11" w16cid:durableId="1138916992">
    <w:abstractNumId w:val="9"/>
  </w:num>
  <w:num w:numId="12" w16cid:durableId="1910575799">
    <w:abstractNumId w:val="4"/>
  </w:num>
  <w:num w:numId="13" w16cid:durableId="944532544">
    <w:abstractNumId w:val="11"/>
  </w:num>
  <w:num w:numId="14" w16cid:durableId="267931250">
    <w:abstractNumId w:val="14"/>
  </w:num>
  <w:num w:numId="15" w16cid:durableId="1238900818">
    <w:abstractNumId w:val="10"/>
  </w:num>
  <w:num w:numId="16" w16cid:durableId="2144469435">
    <w:abstractNumId w:val="8"/>
  </w:num>
  <w:num w:numId="17" w16cid:durableId="1329479187">
    <w:abstractNumId w:val="15"/>
  </w:num>
  <w:num w:numId="18" w16cid:durableId="1476876449">
    <w:abstractNumId w:val="1"/>
  </w:num>
  <w:num w:numId="19" w16cid:durableId="1038041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942E4"/>
    <w:rsid w:val="000D7F1A"/>
    <w:rsid w:val="000F25A6"/>
    <w:rsid w:val="0022134C"/>
    <w:rsid w:val="00224E33"/>
    <w:rsid w:val="00247E5D"/>
    <w:rsid w:val="00255388"/>
    <w:rsid w:val="002762B9"/>
    <w:rsid w:val="00280F11"/>
    <w:rsid w:val="002D1F78"/>
    <w:rsid w:val="003169E6"/>
    <w:rsid w:val="003541E7"/>
    <w:rsid w:val="00376CB8"/>
    <w:rsid w:val="003A7C93"/>
    <w:rsid w:val="005E0201"/>
    <w:rsid w:val="005F1B25"/>
    <w:rsid w:val="0069415F"/>
    <w:rsid w:val="007A021B"/>
    <w:rsid w:val="007A5C9F"/>
    <w:rsid w:val="007C0B6C"/>
    <w:rsid w:val="00807DAA"/>
    <w:rsid w:val="00821F89"/>
    <w:rsid w:val="00844476"/>
    <w:rsid w:val="00882779"/>
    <w:rsid w:val="008A4030"/>
    <w:rsid w:val="008D206A"/>
    <w:rsid w:val="008D75D1"/>
    <w:rsid w:val="00937536"/>
    <w:rsid w:val="00B3548A"/>
    <w:rsid w:val="00BC0FBD"/>
    <w:rsid w:val="00C70EFD"/>
    <w:rsid w:val="00C8251D"/>
    <w:rsid w:val="00CA0346"/>
    <w:rsid w:val="00D873C4"/>
    <w:rsid w:val="00DF160D"/>
    <w:rsid w:val="00E42EC0"/>
    <w:rsid w:val="00E52404"/>
    <w:rsid w:val="00E95F8B"/>
    <w:rsid w:val="00EC4D9C"/>
    <w:rsid w:val="00EE5050"/>
    <w:rsid w:val="00F22984"/>
    <w:rsid w:val="00F45624"/>
    <w:rsid w:val="00F5762C"/>
    <w:rsid w:val="00FC7262"/>
    <w:rsid w:val="00FE5624"/>
    <w:rsid w:val="00FF2E31"/>
    <w:rsid w:val="00FF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 w:type="character" w:styleId="Hyperlink">
    <w:name w:val="Hyperlink"/>
    <w:basedOn w:val="DefaultParagraphFont"/>
    <w:uiPriority w:val="99"/>
    <w:unhideWhenUsed/>
    <w:rsid w:val="005E0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c3f25073238b3576fa9d8ad2f13400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91b9714a5b7899da09e61d6c947a1c41"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97C88-FC2A-4510-9142-2121849912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46000-753F-493D-8BA9-43B0578FCDBF}">
  <ds:schemaRefs>
    <ds:schemaRef ds:uri="http://schemas.microsoft.com/sharepoint/v3/contenttype/forms"/>
  </ds:schemaRefs>
</ds:datastoreItem>
</file>

<file path=customXml/itemProps3.xml><?xml version="1.0" encoding="utf-8"?>
<ds:datastoreItem xmlns:ds="http://schemas.openxmlformats.org/officeDocument/2006/customXml" ds:itemID="{C0E1D7C0-C4F7-4BA3-B784-0AE156DBA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2025-11-21T12:22:00Z</dcterms:created>
  <dcterms:modified xsi:type="dcterms:W3CDTF">2025-11-21T12:22:00Z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