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3E79" w14:textId="4FB39B94"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6D2209">
        <w:rPr>
          <w:rFonts w:asciiTheme="majorHAnsi" w:hAnsiTheme="majorHAnsi" w:cstheme="majorHAnsi"/>
          <w:b/>
          <w:color w:val="002060"/>
          <w:sz w:val="36"/>
          <w:szCs w:val="36"/>
        </w:rPr>
        <w:t>Trust Estates</w:t>
      </w:r>
      <w:r w:rsidR="006D2209" w:rsidRPr="00ED6DC6">
        <w:rPr>
          <w:rFonts w:asciiTheme="majorHAnsi" w:hAnsiTheme="majorHAnsi" w:cstheme="majorHAnsi"/>
          <w:b/>
          <w:color w:val="002060"/>
          <w:sz w:val="36"/>
          <w:szCs w:val="36"/>
        </w:rPr>
        <w:t xml:space="preserve"> Manager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Look w:val="04A0" w:firstRow="1" w:lastRow="0" w:firstColumn="1" w:lastColumn="0" w:noHBand="0" w:noVBand="1"/>
      </w:tblPr>
      <w:tblGrid>
        <w:gridCol w:w="2309"/>
        <w:gridCol w:w="7609"/>
      </w:tblGrid>
      <w:tr w:rsidR="006D2209" w:rsidRPr="00ED6DC6" w14:paraId="3D6C7714" w14:textId="77777777" w:rsidTr="006D2209">
        <w:trPr>
          <w:trHeight w:val="220"/>
        </w:trPr>
        <w:tc>
          <w:tcPr>
            <w:tcW w:w="2309" w:type="dxa"/>
          </w:tcPr>
          <w:p w14:paraId="2652BC9B" w14:textId="77777777" w:rsidR="006D2209" w:rsidRPr="00ED6DC6" w:rsidRDefault="006D2209" w:rsidP="00705D48">
            <w:pPr>
              <w:spacing w:after="0" w:line="240" w:lineRule="auto"/>
              <w:ind w:left="67"/>
              <w:rPr>
                <w:rFonts w:asciiTheme="majorHAnsi" w:hAnsiTheme="majorHAnsi" w:cstheme="majorHAnsi"/>
                <w:b/>
                <w:color w:val="002060"/>
              </w:rPr>
            </w:pPr>
            <w:r w:rsidRPr="00ED6DC6">
              <w:rPr>
                <w:rFonts w:asciiTheme="majorHAnsi" w:hAnsiTheme="majorHAnsi" w:cstheme="majorHAnsi"/>
                <w:b/>
                <w:color w:val="002060"/>
                <w:u w:val="single"/>
              </w:rPr>
              <w:t>Post Details</w:t>
            </w:r>
          </w:p>
        </w:tc>
        <w:tc>
          <w:tcPr>
            <w:tcW w:w="7609" w:type="dxa"/>
          </w:tcPr>
          <w:p w14:paraId="4F1A4240" w14:textId="77777777" w:rsidR="006D2209" w:rsidRPr="00ED6DC6" w:rsidRDefault="006D2209" w:rsidP="00705D48">
            <w:pPr>
              <w:spacing w:after="0" w:line="240" w:lineRule="auto"/>
              <w:ind w:right="400" w:firstLine="136"/>
              <w:rPr>
                <w:rFonts w:asciiTheme="majorHAnsi" w:hAnsiTheme="majorHAnsi" w:cstheme="majorHAnsi"/>
                <w:color w:val="002060"/>
              </w:rPr>
            </w:pPr>
          </w:p>
        </w:tc>
      </w:tr>
      <w:tr w:rsidR="006D2209" w:rsidRPr="00ED6DC6" w14:paraId="249C6B7E" w14:textId="77777777" w:rsidTr="006D2209">
        <w:trPr>
          <w:trHeight w:val="220"/>
        </w:trPr>
        <w:tc>
          <w:tcPr>
            <w:tcW w:w="2309" w:type="dxa"/>
          </w:tcPr>
          <w:p w14:paraId="05210E57" w14:textId="77777777" w:rsidR="006D2209" w:rsidRPr="00ED6DC6" w:rsidRDefault="006D2209" w:rsidP="00705D48">
            <w:pPr>
              <w:spacing w:after="0" w:line="240" w:lineRule="auto"/>
              <w:ind w:left="67"/>
              <w:rPr>
                <w:rFonts w:asciiTheme="majorHAnsi" w:hAnsiTheme="majorHAnsi" w:cstheme="majorHAnsi"/>
                <w:b/>
                <w:color w:val="002060"/>
              </w:rPr>
            </w:pPr>
            <w:r w:rsidRPr="00ED6DC6">
              <w:rPr>
                <w:rFonts w:asciiTheme="majorHAnsi" w:hAnsiTheme="majorHAnsi" w:cstheme="majorHAnsi"/>
                <w:b/>
                <w:color w:val="002060"/>
              </w:rPr>
              <w:t>School/Establishment:</w:t>
            </w:r>
          </w:p>
        </w:tc>
        <w:tc>
          <w:tcPr>
            <w:tcW w:w="7609" w:type="dxa"/>
          </w:tcPr>
          <w:p w14:paraId="602FCB70" w14:textId="77777777" w:rsidR="006D2209" w:rsidRPr="00ED6DC6" w:rsidRDefault="006D2209" w:rsidP="00705D48">
            <w:pPr>
              <w:spacing w:after="0" w:line="240" w:lineRule="auto"/>
              <w:ind w:left="0" w:right="400" w:firstLine="0"/>
              <w:rPr>
                <w:rFonts w:asciiTheme="majorHAnsi" w:hAnsiTheme="majorHAnsi" w:cstheme="majorHAnsi"/>
                <w:color w:val="002060"/>
              </w:rPr>
            </w:pPr>
            <w:r w:rsidRPr="00ED6DC6">
              <w:rPr>
                <w:rFonts w:asciiTheme="majorHAnsi" w:hAnsiTheme="majorHAnsi" w:cstheme="majorHAnsi"/>
                <w:color w:val="002060"/>
              </w:rPr>
              <w:t>Twynham Learning Core Services</w:t>
            </w:r>
          </w:p>
        </w:tc>
      </w:tr>
      <w:tr w:rsidR="006D2209" w:rsidRPr="00ED6DC6" w14:paraId="26574635" w14:textId="77777777" w:rsidTr="006D2209">
        <w:trPr>
          <w:trHeight w:val="220"/>
        </w:trPr>
        <w:tc>
          <w:tcPr>
            <w:tcW w:w="2309" w:type="dxa"/>
          </w:tcPr>
          <w:p w14:paraId="1FD49884" w14:textId="77777777" w:rsidR="006D2209" w:rsidRPr="00ED6DC6" w:rsidRDefault="006D2209" w:rsidP="00705D48">
            <w:pPr>
              <w:spacing w:after="0" w:line="240" w:lineRule="auto"/>
              <w:ind w:left="0" w:firstLine="0"/>
              <w:rPr>
                <w:rFonts w:asciiTheme="majorHAnsi" w:hAnsiTheme="majorHAnsi" w:cstheme="majorHAnsi"/>
                <w:b/>
                <w:color w:val="002060"/>
              </w:rPr>
            </w:pPr>
            <w:r w:rsidRPr="00ED6DC6">
              <w:rPr>
                <w:rFonts w:asciiTheme="majorHAnsi" w:hAnsiTheme="majorHAnsi" w:cstheme="majorHAnsi"/>
                <w:b/>
                <w:color w:val="002060"/>
              </w:rPr>
              <w:t xml:space="preserve"> Post type:</w:t>
            </w:r>
          </w:p>
        </w:tc>
        <w:tc>
          <w:tcPr>
            <w:tcW w:w="7609" w:type="dxa"/>
          </w:tcPr>
          <w:p w14:paraId="39EBCE54" w14:textId="77777777" w:rsidR="006D2209" w:rsidRPr="00ED6DC6" w:rsidRDefault="006D2209" w:rsidP="00705D48">
            <w:pPr>
              <w:spacing w:after="0" w:line="240" w:lineRule="auto"/>
              <w:ind w:right="400"/>
              <w:rPr>
                <w:rFonts w:asciiTheme="majorHAnsi" w:hAnsiTheme="majorHAnsi" w:cstheme="majorHAnsi"/>
                <w:color w:val="002060"/>
              </w:rPr>
            </w:pPr>
            <w:r w:rsidRPr="00ED6DC6">
              <w:rPr>
                <w:rFonts w:asciiTheme="majorHAnsi" w:hAnsiTheme="majorHAnsi" w:cstheme="majorHAnsi"/>
                <w:color w:val="002060"/>
              </w:rPr>
              <w:t>Support Staff</w:t>
            </w:r>
          </w:p>
        </w:tc>
      </w:tr>
      <w:tr w:rsidR="006D2209" w:rsidRPr="00ED6DC6" w14:paraId="7F41130B" w14:textId="77777777" w:rsidTr="006D2209">
        <w:trPr>
          <w:trHeight w:val="220"/>
        </w:trPr>
        <w:tc>
          <w:tcPr>
            <w:tcW w:w="2309" w:type="dxa"/>
          </w:tcPr>
          <w:p w14:paraId="7D2D22FC" w14:textId="77777777" w:rsidR="006D2209" w:rsidRPr="00ED6DC6" w:rsidRDefault="006D2209" w:rsidP="00705D48">
            <w:pPr>
              <w:spacing w:after="0" w:line="240" w:lineRule="auto"/>
              <w:ind w:left="67"/>
              <w:rPr>
                <w:rFonts w:asciiTheme="majorHAnsi" w:hAnsiTheme="majorHAnsi" w:cstheme="majorHAnsi"/>
                <w:color w:val="002060"/>
              </w:rPr>
            </w:pPr>
            <w:r w:rsidRPr="00ED6DC6">
              <w:rPr>
                <w:rFonts w:asciiTheme="majorHAnsi" w:hAnsiTheme="majorHAnsi" w:cstheme="majorHAnsi"/>
                <w:b/>
                <w:color w:val="002060"/>
              </w:rPr>
              <w:t xml:space="preserve">Grade/Pay Level: </w:t>
            </w:r>
          </w:p>
        </w:tc>
        <w:tc>
          <w:tcPr>
            <w:tcW w:w="7609" w:type="dxa"/>
          </w:tcPr>
          <w:p w14:paraId="47A4258B" w14:textId="77777777" w:rsidR="006D2209" w:rsidRPr="00ED6DC6" w:rsidRDefault="006D2209" w:rsidP="00705D48">
            <w:pPr>
              <w:spacing w:after="0" w:line="240" w:lineRule="auto"/>
              <w:ind w:right="400"/>
              <w:rPr>
                <w:rFonts w:asciiTheme="majorHAnsi" w:hAnsiTheme="majorHAnsi" w:cstheme="majorHAnsi"/>
                <w:color w:val="002060"/>
              </w:rPr>
            </w:pPr>
            <w:r w:rsidRPr="00ED6DC6">
              <w:rPr>
                <w:rFonts w:asciiTheme="majorHAnsi" w:hAnsiTheme="majorHAnsi" w:cstheme="majorHAnsi"/>
                <w:color w:val="002060"/>
              </w:rPr>
              <w:t xml:space="preserve">Grade </w:t>
            </w:r>
            <w:r>
              <w:rPr>
                <w:rFonts w:asciiTheme="majorHAnsi" w:hAnsiTheme="majorHAnsi" w:cstheme="majorHAnsi"/>
                <w:color w:val="002060"/>
              </w:rPr>
              <w:t>13</w:t>
            </w:r>
          </w:p>
        </w:tc>
      </w:tr>
      <w:tr w:rsidR="006D2209" w:rsidRPr="00ED6DC6" w14:paraId="71F266D7" w14:textId="77777777" w:rsidTr="006D2209">
        <w:trPr>
          <w:trHeight w:val="294"/>
        </w:trPr>
        <w:tc>
          <w:tcPr>
            <w:tcW w:w="2309" w:type="dxa"/>
          </w:tcPr>
          <w:p w14:paraId="7E848D1F" w14:textId="77777777" w:rsidR="006D2209" w:rsidRPr="00ED6DC6" w:rsidRDefault="006D2209" w:rsidP="00705D48">
            <w:pPr>
              <w:spacing w:after="0" w:line="240" w:lineRule="auto"/>
              <w:ind w:left="67"/>
              <w:rPr>
                <w:rFonts w:asciiTheme="majorHAnsi" w:hAnsiTheme="majorHAnsi" w:cstheme="majorHAnsi"/>
                <w:b/>
                <w:color w:val="002060"/>
              </w:rPr>
            </w:pPr>
            <w:r w:rsidRPr="00ED6DC6">
              <w:rPr>
                <w:rFonts w:asciiTheme="majorHAnsi" w:hAnsiTheme="majorHAnsi" w:cstheme="majorHAnsi"/>
                <w:b/>
                <w:color w:val="002060"/>
              </w:rPr>
              <w:t>Responsible to:</w:t>
            </w:r>
          </w:p>
        </w:tc>
        <w:tc>
          <w:tcPr>
            <w:tcW w:w="7609" w:type="dxa"/>
          </w:tcPr>
          <w:p w14:paraId="3E26CF7B" w14:textId="77777777" w:rsidR="006D2209" w:rsidRPr="00ED6DC6" w:rsidRDefault="006D2209" w:rsidP="00705D48">
            <w:pPr>
              <w:spacing w:after="0" w:line="240" w:lineRule="auto"/>
              <w:rPr>
                <w:rFonts w:asciiTheme="majorHAnsi" w:hAnsiTheme="majorHAnsi" w:cstheme="majorHAnsi"/>
                <w:color w:val="002060"/>
              </w:rPr>
            </w:pPr>
            <w:r>
              <w:rPr>
                <w:rFonts w:asciiTheme="majorHAnsi" w:hAnsiTheme="majorHAnsi" w:cstheme="majorHAnsi"/>
                <w:color w:val="002060"/>
              </w:rPr>
              <w:t>CEO</w:t>
            </w:r>
          </w:p>
        </w:tc>
      </w:tr>
    </w:tbl>
    <w:p w14:paraId="0EC95EB6" w14:textId="77777777" w:rsidR="003A0F1D" w:rsidRDefault="003A0F1D" w:rsidP="006D2209">
      <w:pPr>
        <w:spacing w:after="0" w:line="240" w:lineRule="auto"/>
        <w:ind w:left="0" w:firstLine="0"/>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76226B5B" w:rsidR="003A0F1D" w:rsidRPr="008B1418" w:rsidRDefault="003A0F1D" w:rsidP="00DC6203">
            <w:pPr>
              <w:ind w:left="277" w:right="228" w:firstLine="0"/>
              <w:rPr>
                <w:rFonts w:asciiTheme="majorHAnsi" w:hAnsiTheme="majorHAnsi" w:cstheme="majorHAnsi"/>
                <w:color w:val="002060"/>
              </w:rPr>
            </w:pPr>
            <w:r w:rsidRPr="008B1418">
              <w:rPr>
                <w:rFonts w:asciiTheme="majorHAnsi" w:hAnsiTheme="majorHAnsi" w:cstheme="majorHAnsi"/>
                <w:color w:val="002060"/>
              </w:rPr>
              <w:t xml:space="preserve"> </w:t>
            </w:r>
            <w:r w:rsidR="006D2209">
              <w:rPr>
                <w:rFonts w:asciiTheme="majorHAnsi" w:hAnsiTheme="majorHAnsi" w:cstheme="majorHAnsi"/>
                <w:color w:val="002060"/>
              </w:rPr>
              <w:t>To be the technical lead for all estates matters across the Twynham Learning Multi-Academy Trust; ensuring our schools are safe and inspiring places for teaching and learning.</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C8EFA" w14:textId="77777777" w:rsidR="006D2209" w:rsidRPr="00CC2B13" w:rsidRDefault="006D2209" w:rsidP="006D2209">
            <w:pPr>
              <w:spacing w:after="0"/>
              <w:ind w:right="228"/>
              <w:rPr>
                <w:rFonts w:asciiTheme="majorHAnsi" w:hAnsiTheme="majorHAnsi" w:cstheme="majorHAnsi"/>
                <w:b/>
                <w:bCs/>
                <w:color w:val="002060"/>
              </w:rPr>
            </w:pPr>
            <w:r w:rsidRPr="00C242CB">
              <w:rPr>
                <w:rFonts w:asciiTheme="majorHAnsi" w:hAnsiTheme="majorHAnsi" w:cstheme="majorHAnsi"/>
                <w:b/>
                <w:bCs/>
                <w:color w:val="002060"/>
              </w:rPr>
              <w:t>Strategic Estate Planning &amp; Asset Management</w:t>
            </w:r>
          </w:p>
          <w:p w14:paraId="11D5C279" w14:textId="77777777" w:rsidR="006D2209" w:rsidRPr="00C242CB" w:rsidRDefault="006D2209" w:rsidP="006D2209">
            <w:pPr>
              <w:pStyle w:val="ListParagraph"/>
              <w:numPr>
                <w:ilvl w:val="0"/>
                <w:numId w:val="7"/>
              </w:numPr>
              <w:ind w:right="228"/>
              <w:rPr>
                <w:rFonts w:asciiTheme="majorHAnsi" w:hAnsiTheme="majorHAnsi" w:cstheme="majorHAnsi"/>
                <w:color w:val="002060"/>
              </w:rPr>
            </w:pPr>
            <w:r w:rsidRPr="00C242CB">
              <w:rPr>
                <w:rFonts w:asciiTheme="majorHAnsi" w:hAnsiTheme="majorHAnsi" w:cstheme="majorHAnsi"/>
                <w:color w:val="002060"/>
              </w:rPr>
              <w:t xml:space="preserve">Develop and maintain the </w:t>
            </w:r>
            <w:r w:rsidRPr="00C242CB">
              <w:rPr>
                <w:rFonts w:asciiTheme="majorHAnsi" w:hAnsiTheme="majorHAnsi" w:cstheme="majorHAnsi"/>
                <w:b/>
                <w:bCs/>
                <w:color w:val="002060"/>
              </w:rPr>
              <w:t>long-term estates strategy</w:t>
            </w:r>
            <w:r w:rsidRPr="00C242CB">
              <w:rPr>
                <w:rFonts w:asciiTheme="majorHAnsi" w:hAnsiTheme="majorHAnsi" w:cstheme="majorHAnsi"/>
                <w:color w:val="002060"/>
              </w:rPr>
              <w:t xml:space="preserve"> aligned to educational vision and growth plans </w:t>
            </w:r>
          </w:p>
          <w:p w14:paraId="50926888" w14:textId="77777777" w:rsidR="006D2209" w:rsidRPr="00C242CB" w:rsidRDefault="006D2209" w:rsidP="006D2209">
            <w:pPr>
              <w:pStyle w:val="ListParagraph"/>
              <w:numPr>
                <w:ilvl w:val="0"/>
                <w:numId w:val="7"/>
              </w:numPr>
              <w:ind w:right="228"/>
              <w:rPr>
                <w:rFonts w:asciiTheme="majorHAnsi" w:hAnsiTheme="majorHAnsi" w:cstheme="majorHAnsi"/>
                <w:color w:val="002060"/>
              </w:rPr>
            </w:pPr>
            <w:r w:rsidRPr="00C242CB">
              <w:rPr>
                <w:rFonts w:asciiTheme="majorHAnsi" w:hAnsiTheme="majorHAnsi" w:cstheme="majorHAnsi"/>
                <w:color w:val="002060"/>
              </w:rPr>
              <w:t xml:space="preserve">Lead estate </w:t>
            </w:r>
            <w:r w:rsidRPr="00C242CB">
              <w:rPr>
                <w:rFonts w:asciiTheme="majorHAnsi" w:hAnsiTheme="majorHAnsi" w:cstheme="majorHAnsi"/>
                <w:b/>
                <w:bCs/>
                <w:color w:val="002060"/>
              </w:rPr>
              <w:t>capital planning, lifecycle modelling, and condition-based investment planning</w:t>
            </w:r>
            <w:r w:rsidRPr="00C242CB">
              <w:rPr>
                <w:rFonts w:asciiTheme="majorHAnsi" w:hAnsiTheme="majorHAnsi" w:cstheme="majorHAnsi"/>
                <w:color w:val="002060"/>
              </w:rPr>
              <w:t xml:space="preserve"> </w:t>
            </w:r>
          </w:p>
          <w:p w14:paraId="1BC11BAD" w14:textId="77777777" w:rsidR="006D2209" w:rsidRPr="00C242CB" w:rsidRDefault="006D2209" w:rsidP="006D2209">
            <w:pPr>
              <w:pStyle w:val="ListParagraph"/>
              <w:numPr>
                <w:ilvl w:val="0"/>
                <w:numId w:val="7"/>
              </w:numPr>
              <w:ind w:right="228"/>
              <w:rPr>
                <w:rFonts w:asciiTheme="majorHAnsi" w:hAnsiTheme="majorHAnsi" w:cstheme="majorHAnsi"/>
                <w:color w:val="002060"/>
              </w:rPr>
            </w:pPr>
            <w:r w:rsidRPr="00C242CB">
              <w:rPr>
                <w:rFonts w:asciiTheme="majorHAnsi" w:hAnsiTheme="majorHAnsi" w:cstheme="majorHAnsi"/>
                <w:color w:val="002060"/>
              </w:rPr>
              <w:t xml:space="preserve">Oversee asset management planning including </w:t>
            </w:r>
            <w:r w:rsidRPr="00C242CB">
              <w:rPr>
                <w:rFonts w:asciiTheme="majorHAnsi" w:hAnsiTheme="majorHAnsi" w:cstheme="majorHAnsi"/>
                <w:b/>
                <w:bCs/>
                <w:color w:val="002060"/>
              </w:rPr>
              <w:t>sufficiency, suitability, and sustainability</w:t>
            </w:r>
            <w:r w:rsidRPr="00C242CB">
              <w:rPr>
                <w:rFonts w:asciiTheme="majorHAnsi" w:hAnsiTheme="majorHAnsi" w:cstheme="majorHAnsi"/>
                <w:color w:val="002060"/>
              </w:rPr>
              <w:t xml:space="preserve"> </w:t>
            </w:r>
          </w:p>
          <w:p w14:paraId="5A4F6F66" w14:textId="77777777" w:rsidR="006D2209" w:rsidRPr="00C242CB" w:rsidRDefault="006D2209" w:rsidP="006D2209">
            <w:pPr>
              <w:pStyle w:val="ListParagraph"/>
              <w:numPr>
                <w:ilvl w:val="0"/>
                <w:numId w:val="7"/>
              </w:numPr>
              <w:ind w:right="228"/>
              <w:rPr>
                <w:rFonts w:asciiTheme="majorHAnsi" w:hAnsiTheme="majorHAnsi" w:cstheme="majorHAnsi"/>
                <w:color w:val="002060"/>
              </w:rPr>
            </w:pPr>
            <w:r w:rsidRPr="00C242CB">
              <w:rPr>
                <w:rFonts w:asciiTheme="majorHAnsi" w:hAnsiTheme="majorHAnsi" w:cstheme="majorHAnsi"/>
                <w:color w:val="002060"/>
              </w:rPr>
              <w:t xml:space="preserve">Engage with Trust leadership, governors, and external stakeholders on estate strategy </w:t>
            </w:r>
          </w:p>
          <w:p w14:paraId="347174B2" w14:textId="77777777" w:rsidR="006D2209" w:rsidRPr="00C242CB" w:rsidRDefault="006D2209" w:rsidP="006D2209">
            <w:pPr>
              <w:pStyle w:val="ListParagraph"/>
              <w:numPr>
                <w:ilvl w:val="0"/>
                <w:numId w:val="7"/>
              </w:numPr>
              <w:ind w:right="228"/>
              <w:rPr>
                <w:rFonts w:asciiTheme="majorHAnsi" w:hAnsiTheme="majorHAnsi" w:cstheme="majorHAnsi"/>
                <w:color w:val="002060"/>
              </w:rPr>
            </w:pPr>
            <w:r w:rsidRPr="00C242CB">
              <w:rPr>
                <w:rFonts w:asciiTheme="majorHAnsi" w:hAnsiTheme="majorHAnsi" w:cstheme="majorHAnsi"/>
                <w:color w:val="002060"/>
              </w:rPr>
              <w:t xml:space="preserve">Approve prioritisation of capital projects and funding bids </w:t>
            </w:r>
            <w:r>
              <w:rPr>
                <w:rFonts w:asciiTheme="majorHAnsi" w:hAnsiTheme="majorHAnsi" w:cstheme="majorHAnsi"/>
                <w:color w:val="002060"/>
              </w:rPr>
              <w:t>and request Trustee/Exec approval</w:t>
            </w:r>
          </w:p>
          <w:p w14:paraId="7F96A5EE" w14:textId="77777777" w:rsidR="006D2209" w:rsidRPr="00C242CB" w:rsidRDefault="006D2209" w:rsidP="006D2209">
            <w:pPr>
              <w:pStyle w:val="ListParagraph"/>
              <w:numPr>
                <w:ilvl w:val="0"/>
                <w:numId w:val="7"/>
              </w:numPr>
              <w:ind w:right="228"/>
              <w:rPr>
                <w:rFonts w:asciiTheme="majorHAnsi" w:hAnsiTheme="majorHAnsi" w:cstheme="majorHAnsi"/>
                <w:color w:val="002060"/>
              </w:rPr>
            </w:pPr>
            <w:r w:rsidRPr="00C242CB">
              <w:rPr>
                <w:rFonts w:asciiTheme="majorHAnsi" w:hAnsiTheme="majorHAnsi" w:cstheme="majorHAnsi"/>
                <w:color w:val="002060"/>
              </w:rPr>
              <w:t>Define standards for estate performance (compliance, sustainability, utilisation)</w:t>
            </w:r>
          </w:p>
          <w:p w14:paraId="5168906C" w14:textId="77777777" w:rsidR="006D2209" w:rsidRPr="00CC2B13" w:rsidRDefault="006D2209" w:rsidP="006D2209">
            <w:pPr>
              <w:spacing w:after="0"/>
              <w:ind w:right="228"/>
              <w:rPr>
                <w:rFonts w:asciiTheme="majorHAnsi" w:hAnsiTheme="majorHAnsi" w:cstheme="majorHAnsi"/>
                <w:b/>
                <w:bCs/>
                <w:color w:val="002060"/>
              </w:rPr>
            </w:pPr>
            <w:r w:rsidRPr="009C4527">
              <w:rPr>
                <w:rFonts w:asciiTheme="majorHAnsi" w:hAnsiTheme="majorHAnsi" w:cstheme="majorHAnsi"/>
                <w:b/>
                <w:bCs/>
                <w:color w:val="002060"/>
              </w:rPr>
              <w:t>Compliance, Health &amp; Safety, and Risk Management</w:t>
            </w:r>
          </w:p>
          <w:p w14:paraId="33796DE8" w14:textId="77777777" w:rsidR="006D2209" w:rsidRPr="00602B30" w:rsidRDefault="006D2209" w:rsidP="006D2209">
            <w:pPr>
              <w:pStyle w:val="ListParagraph"/>
              <w:numPr>
                <w:ilvl w:val="0"/>
                <w:numId w:val="8"/>
              </w:numPr>
              <w:ind w:right="228"/>
              <w:rPr>
                <w:rFonts w:asciiTheme="majorHAnsi" w:hAnsiTheme="majorHAnsi" w:cstheme="majorHAnsi"/>
                <w:color w:val="002060"/>
              </w:rPr>
            </w:pPr>
            <w:r w:rsidRPr="00602B30">
              <w:rPr>
                <w:rFonts w:asciiTheme="majorHAnsi" w:hAnsiTheme="majorHAnsi" w:cstheme="majorHAnsi"/>
                <w:color w:val="002060"/>
              </w:rPr>
              <w:t xml:space="preserve">Establish and maintain the </w:t>
            </w:r>
            <w:r w:rsidRPr="00602B30">
              <w:rPr>
                <w:rFonts w:asciiTheme="majorHAnsi" w:hAnsiTheme="majorHAnsi" w:cstheme="majorHAnsi"/>
                <w:b/>
                <w:bCs/>
                <w:color w:val="002060"/>
              </w:rPr>
              <w:t>Trust-wide compliance framework</w:t>
            </w:r>
            <w:r w:rsidRPr="00602B30">
              <w:rPr>
                <w:rFonts w:asciiTheme="majorHAnsi" w:hAnsiTheme="majorHAnsi" w:cstheme="majorHAnsi"/>
                <w:color w:val="002060"/>
              </w:rPr>
              <w:t xml:space="preserve"> (statutory and regulatory) </w:t>
            </w:r>
          </w:p>
          <w:p w14:paraId="547A1B9F" w14:textId="77777777" w:rsidR="006D2209" w:rsidRPr="00602B30" w:rsidRDefault="006D2209" w:rsidP="006D2209">
            <w:pPr>
              <w:pStyle w:val="ListParagraph"/>
              <w:numPr>
                <w:ilvl w:val="0"/>
                <w:numId w:val="8"/>
              </w:numPr>
              <w:ind w:right="228"/>
              <w:rPr>
                <w:rFonts w:asciiTheme="majorHAnsi" w:hAnsiTheme="majorHAnsi" w:cstheme="majorHAnsi"/>
                <w:color w:val="002060"/>
              </w:rPr>
            </w:pPr>
            <w:r w:rsidRPr="00602B30">
              <w:rPr>
                <w:rFonts w:asciiTheme="majorHAnsi" w:hAnsiTheme="majorHAnsi" w:cstheme="majorHAnsi"/>
                <w:color w:val="002060"/>
              </w:rPr>
              <w:t xml:space="preserve">Ensure policies, procedures, and audit regimes are in place </w:t>
            </w:r>
          </w:p>
          <w:p w14:paraId="6B828165" w14:textId="77777777" w:rsidR="006D2209" w:rsidRPr="00602B30" w:rsidRDefault="006D2209" w:rsidP="006D2209">
            <w:pPr>
              <w:pStyle w:val="ListParagraph"/>
              <w:numPr>
                <w:ilvl w:val="0"/>
                <w:numId w:val="8"/>
              </w:numPr>
              <w:ind w:right="228"/>
              <w:rPr>
                <w:rFonts w:asciiTheme="majorHAnsi" w:hAnsiTheme="majorHAnsi" w:cstheme="majorHAnsi"/>
                <w:color w:val="002060"/>
              </w:rPr>
            </w:pPr>
            <w:r w:rsidRPr="00602B30">
              <w:rPr>
                <w:rFonts w:asciiTheme="majorHAnsi" w:hAnsiTheme="majorHAnsi" w:cstheme="majorHAnsi"/>
                <w:color w:val="002060"/>
              </w:rPr>
              <w:t xml:space="preserve">Monitor assurance systems, audits, and compliance reporting </w:t>
            </w:r>
          </w:p>
          <w:p w14:paraId="08AAE958" w14:textId="77777777" w:rsidR="006D2209" w:rsidRPr="00602B30" w:rsidRDefault="006D2209" w:rsidP="006D2209">
            <w:pPr>
              <w:pStyle w:val="ListParagraph"/>
              <w:numPr>
                <w:ilvl w:val="0"/>
                <w:numId w:val="8"/>
              </w:numPr>
              <w:ind w:right="228"/>
              <w:rPr>
                <w:rFonts w:asciiTheme="majorHAnsi" w:hAnsiTheme="majorHAnsi" w:cstheme="majorHAnsi"/>
                <w:color w:val="002060"/>
              </w:rPr>
            </w:pPr>
            <w:r w:rsidRPr="00602B30">
              <w:rPr>
                <w:rFonts w:asciiTheme="majorHAnsi" w:hAnsiTheme="majorHAnsi" w:cstheme="majorHAnsi"/>
                <w:color w:val="002060"/>
              </w:rPr>
              <w:t xml:space="preserve">Act as </w:t>
            </w:r>
            <w:r w:rsidRPr="00602B30">
              <w:rPr>
                <w:rFonts w:asciiTheme="majorHAnsi" w:hAnsiTheme="majorHAnsi" w:cstheme="majorHAnsi"/>
                <w:b/>
                <w:bCs/>
                <w:color w:val="002060"/>
              </w:rPr>
              <w:t>Responsible Person/Duty Holder oversight role</w:t>
            </w:r>
            <w:r w:rsidRPr="00602B30">
              <w:rPr>
                <w:rFonts w:asciiTheme="majorHAnsi" w:hAnsiTheme="majorHAnsi" w:cstheme="majorHAnsi"/>
                <w:color w:val="002060"/>
              </w:rPr>
              <w:t xml:space="preserve"> (delegation where applicable) </w:t>
            </w:r>
          </w:p>
          <w:p w14:paraId="1FC68CF1" w14:textId="77777777" w:rsidR="006D2209" w:rsidRPr="00602B30" w:rsidRDefault="006D2209" w:rsidP="006D2209">
            <w:pPr>
              <w:pStyle w:val="ListParagraph"/>
              <w:numPr>
                <w:ilvl w:val="0"/>
                <w:numId w:val="8"/>
              </w:numPr>
              <w:ind w:right="228"/>
              <w:rPr>
                <w:rFonts w:asciiTheme="majorHAnsi" w:hAnsiTheme="majorHAnsi" w:cstheme="majorHAnsi"/>
                <w:color w:val="002060"/>
              </w:rPr>
            </w:pPr>
            <w:r w:rsidRPr="00602B30">
              <w:rPr>
                <w:rFonts w:asciiTheme="majorHAnsi" w:hAnsiTheme="majorHAnsi" w:cstheme="majorHAnsi"/>
                <w:color w:val="002060"/>
              </w:rPr>
              <w:t>Escalate compliance risks to senior leadership and governance</w:t>
            </w:r>
          </w:p>
          <w:p w14:paraId="1F19C754" w14:textId="77777777" w:rsidR="006D2209" w:rsidRPr="00CC2B13" w:rsidRDefault="006D2209" w:rsidP="006D2209">
            <w:pPr>
              <w:spacing w:after="0"/>
              <w:ind w:right="228"/>
              <w:rPr>
                <w:rFonts w:asciiTheme="majorHAnsi" w:hAnsiTheme="majorHAnsi" w:cstheme="majorHAnsi"/>
                <w:b/>
                <w:bCs/>
                <w:color w:val="002060"/>
              </w:rPr>
            </w:pPr>
            <w:r w:rsidRPr="00A40387">
              <w:rPr>
                <w:rFonts w:asciiTheme="majorHAnsi" w:hAnsiTheme="majorHAnsi" w:cstheme="majorHAnsi"/>
                <w:b/>
                <w:bCs/>
                <w:color w:val="002060"/>
              </w:rPr>
              <w:t>Maintenance &amp; Repairs (Planned and Reactive)</w:t>
            </w:r>
          </w:p>
          <w:p w14:paraId="3B00A9D2" w14:textId="77777777" w:rsidR="006D2209" w:rsidRPr="00C04E66" w:rsidRDefault="006D2209" w:rsidP="006D2209">
            <w:pPr>
              <w:pStyle w:val="ListParagraph"/>
              <w:numPr>
                <w:ilvl w:val="0"/>
                <w:numId w:val="9"/>
              </w:numPr>
              <w:ind w:right="228"/>
              <w:rPr>
                <w:rFonts w:asciiTheme="majorHAnsi" w:hAnsiTheme="majorHAnsi" w:cstheme="majorHAnsi"/>
                <w:color w:val="002060"/>
              </w:rPr>
            </w:pPr>
            <w:r w:rsidRPr="00C04E66">
              <w:rPr>
                <w:rFonts w:asciiTheme="majorHAnsi" w:hAnsiTheme="majorHAnsi" w:cstheme="majorHAnsi"/>
                <w:color w:val="002060"/>
              </w:rPr>
              <w:t>Define planned preventative maintenance (PPM) strategy and standards</w:t>
            </w:r>
          </w:p>
          <w:p w14:paraId="237FC1FF" w14:textId="77777777" w:rsidR="006D2209" w:rsidRPr="00C04E66" w:rsidRDefault="006D2209" w:rsidP="006D2209">
            <w:pPr>
              <w:pStyle w:val="ListParagraph"/>
              <w:numPr>
                <w:ilvl w:val="0"/>
                <w:numId w:val="9"/>
              </w:numPr>
              <w:ind w:right="228"/>
              <w:rPr>
                <w:rFonts w:asciiTheme="majorHAnsi" w:hAnsiTheme="majorHAnsi" w:cstheme="majorHAnsi"/>
                <w:color w:val="002060"/>
              </w:rPr>
            </w:pPr>
            <w:r w:rsidRPr="00C04E66">
              <w:rPr>
                <w:rFonts w:asciiTheme="majorHAnsi" w:hAnsiTheme="majorHAnsi" w:cstheme="majorHAnsi"/>
                <w:color w:val="002060"/>
              </w:rPr>
              <w:t>Approve budgets and resource allocation for maintenance programmes</w:t>
            </w:r>
          </w:p>
          <w:p w14:paraId="77420BE8" w14:textId="77777777" w:rsidR="006D2209" w:rsidRPr="00C04E66" w:rsidRDefault="006D2209" w:rsidP="006D2209">
            <w:pPr>
              <w:pStyle w:val="ListParagraph"/>
              <w:numPr>
                <w:ilvl w:val="0"/>
                <w:numId w:val="9"/>
              </w:numPr>
              <w:ind w:right="228"/>
              <w:rPr>
                <w:rFonts w:asciiTheme="majorHAnsi" w:hAnsiTheme="majorHAnsi" w:cstheme="majorHAnsi"/>
                <w:color w:val="002060"/>
              </w:rPr>
            </w:pPr>
            <w:r w:rsidRPr="00C04E66">
              <w:rPr>
                <w:rFonts w:asciiTheme="majorHAnsi" w:hAnsiTheme="majorHAnsi" w:cstheme="majorHAnsi"/>
                <w:color w:val="002060"/>
              </w:rPr>
              <w:t>Analyse trends (reactive vs planned) to drive efficiency improvements</w:t>
            </w:r>
          </w:p>
          <w:p w14:paraId="3BCFACEE" w14:textId="77777777" w:rsidR="006D2209" w:rsidRPr="00C04E66" w:rsidRDefault="006D2209" w:rsidP="006D2209">
            <w:pPr>
              <w:pStyle w:val="ListParagraph"/>
              <w:numPr>
                <w:ilvl w:val="0"/>
                <w:numId w:val="9"/>
              </w:numPr>
              <w:ind w:right="228"/>
              <w:rPr>
                <w:rFonts w:asciiTheme="majorHAnsi" w:hAnsiTheme="majorHAnsi" w:cstheme="majorHAnsi"/>
                <w:color w:val="002060"/>
              </w:rPr>
            </w:pPr>
            <w:r w:rsidRPr="00C04E66">
              <w:rPr>
                <w:rFonts w:asciiTheme="majorHAnsi" w:hAnsiTheme="majorHAnsi" w:cstheme="majorHAnsi"/>
                <w:color w:val="002060"/>
              </w:rPr>
              <w:t>Procure and manage frameworks for maintenance delivery</w:t>
            </w:r>
          </w:p>
          <w:p w14:paraId="292A04CC" w14:textId="77777777" w:rsidR="006D2209" w:rsidRPr="00CC2B13" w:rsidRDefault="006D2209" w:rsidP="006D2209">
            <w:pPr>
              <w:spacing w:after="0"/>
              <w:ind w:left="0" w:right="228" w:firstLine="0"/>
              <w:rPr>
                <w:rFonts w:asciiTheme="majorHAnsi" w:hAnsiTheme="majorHAnsi" w:cstheme="majorHAnsi"/>
                <w:b/>
                <w:bCs/>
                <w:color w:val="002060"/>
              </w:rPr>
            </w:pPr>
            <w:r w:rsidRPr="00BD6444">
              <w:rPr>
                <w:rFonts w:asciiTheme="majorHAnsi" w:hAnsiTheme="majorHAnsi" w:cstheme="majorHAnsi"/>
                <w:b/>
                <w:bCs/>
                <w:color w:val="002060"/>
              </w:rPr>
              <w:t>Capital Projects &amp; Construction</w:t>
            </w:r>
          </w:p>
          <w:p w14:paraId="4C06D3E2" w14:textId="77777777" w:rsidR="006D2209" w:rsidRPr="00037A2D" w:rsidRDefault="006D2209" w:rsidP="006D2209">
            <w:pPr>
              <w:pStyle w:val="ListParagraph"/>
              <w:numPr>
                <w:ilvl w:val="0"/>
                <w:numId w:val="10"/>
              </w:numPr>
              <w:ind w:right="228"/>
              <w:rPr>
                <w:rFonts w:asciiTheme="majorHAnsi" w:hAnsiTheme="majorHAnsi" w:cstheme="majorHAnsi"/>
                <w:color w:val="002060"/>
              </w:rPr>
            </w:pPr>
            <w:r w:rsidRPr="00037A2D">
              <w:rPr>
                <w:rFonts w:asciiTheme="majorHAnsi" w:hAnsiTheme="majorHAnsi" w:cstheme="majorHAnsi"/>
                <w:color w:val="002060"/>
              </w:rPr>
              <w:t>Lead capital project planning, business cases, and funding applications</w:t>
            </w:r>
          </w:p>
          <w:p w14:paraId="3CFB73C5" w14:textId="77777777" w:rsidR="006D2209" w:rsidRPr="00037A2D" w:rsidRDefault="006D2209" w:rsidP="006D2209">
            <w:pPr>
              <w:pStyle w:val="ListParagraph"/>
              <w:numPr>
                <w:ilvl w:val="0"/>
                <w:numId w:val="10"/>
              </w:numPr>
              <w:ind w:right="228"/>
              <w:rPr>
                <w:rFonts w:asciiTheme="majorHAnsi" w:hAnsiTheme="majorHAnsi" w:cstheme="majorHAnsi"/>
                <w:color w:val="002060"/>
              </w:rPr>
            </w:pPr>
            <w:r w:rsidRPr="00037A2D">
              <w:rPr>
                <w:rFonts w:asciiTheme="majorHAnsi" w:hAnsiTheme="majorHAnsi" w:cstheme="majorHAnsi"/>
                <w:color w:val="002060"/>
              </w:rPr>
              <w:t>Act as client lead for major projects (new builds, refurbishments)</w:t>
            </w:r>
          </w:p>
          <w:p w14:paraId="15953146" w14:textId="77777777" w:rsidR="006D2209" w:rsidRPr="00037A2D" w:rsidRDefault="006D2209" w:rsidP="006D2209">
            <w:pPr>
              <w:pStyle w:val="ListParagraph"/>
              <w:numPr>
                <w:ilvl w:val="0"/>
                <w:numId w:val="10"/>
              </w:numPr>
              <w:ind w:right="228"/>
              <w:rPr>
                <w:rFonts w:asciiTheme="majorHAnsi" w:hAnsiTheme="majorHAnsi" w:cstheme="majorHAnsi"/>
                <w:color w:val="002060"/>
              </w:rPr>
            </w:pPr>
            <w:r w:rsidRPr="00037A2D">
              <w:rPr>
                <w:rFonts w:asciiTheme="majorHAnsi" w:hAnsiTheme="majorHAnsi" w:cstheme="majorHAnsi"/>
                <w:color w:val="002060"/>
              </w:rPr>
              <w:t>Oversee project governance, risk, and stakeholder management</w:t>
            </w:r>
          </w:p>
          <w:p w14:paraId="179002B4" w14:textId="77777777" w:rsidR="006D2209" w:rsidRPr="00037A2D" w:rsidRDefault="006D2209" w:rsidP="006D2209">
            <w:pPr>
              <w:pStyle w:val="ListParagraph"/>
              <w:numPr>
                <w:ilvl w:val="0"/>
                <w:numId w:val="10"/>
              </w:numPr>
              <w:ind w:right="228"/>
              <w:rPr>
                <w:rFonts w:asciiTheme="majorHAnsi" w:hAnsiTheme="majorHAnsi" w:cstheme="majorHAnsi"/>
                <w:color w:val="002060"/>
              </w:rPr>
            </w:pPr>
            <w:r w:rsidRPr="00037A2D">
              <w:rPr>
                <w:rFonts w:asciiTheme="majorHAnsi" w:hAnsiTheme="majorHAnsi" w:cstheme="majorHAnsi"/>
                <w:color w:val="002060"/>
              </w:rPr>
              <w:t>Ensure projects meet strategic objectives, compliance, and value for money</w:t>
            </w:r>
          </w:p>
          <w:p w14:paraId="0AC476AE" w14:textId="77777777" w:rsidR="006D2209" w:rsidRPr="00CC2B13" w:rsidRDefault="006D2209" w:rsidP="006D2209">
            <w:pPr>
              <w:spacing w:after="0"/>
              <w:ind w:left="0" w:right="228" w:firstLine="0"/>
              <w:rPr>
                <w:rFonts w:asciiTheme="majorHAnsi" w:hAnsiTheme="majorHAnsi" w:cstheme="majorHAnsi"/>
                <w:b/>
                <w:bCs/>
                <w:color w:val="002060"/>
              </w:rPr>
            </w:pPr>
            <w:r w:rsidRPr="00741BBF">
              <w:rPr>
                <w:rFonts w:asciiTheme="majorHAnsi" w:hAnsiTheme="majorHAnsi" w:cstheme="majorHAnsi"/>
                <w:b/>
                <w:bCs/>
                <w:color w:val="002060"/>
              </w:rPr>
              <w:t>Financial Control &amp; Procurement</w:t>
            </w:r>
          </w:p>
          <w:p w14:paraId="2E09A909" w14:textId="77777777" w:rsidR="006D2209" w:rsidRPr="00840EF5" w:rsidRDefault="006D2209" w:rsidP="006D2209">
            <w:pPr>
              <w:pStyle w:val="ListParagraph"/>
              <w:numPr>
                <w:ilvl w:val="0"/>
                <w:numId w:val="11"/>
              </w:numPr>
              <w:ind w:right="228"/>
              <w:rPr>
                <w:rFonts w:asciiTheme="majorHAnsi" w:hAnsiTheme="majorHAnsi" w:cstheme="majorHAnsi"/>
                <w:color w:val="002060"/>
              </w:rPr>
            </w:pPr>
            <w:r w:rsidRPr="00840EF5">
              <w:rPr>
                <w:rFonts w:asciiTheme="majorHAnsi" w:hAnsiTheme="majorHAnsi" w:cstheme="majorHAnsi"/>
                <w:color w:val="002060"/>
              </w:rPr>
              <w:t>Set and manage estate budgets (revenue and capital)</w:t>
            </w:r>
          </w:p>
          <w:p w14:paraId="43A67E1C" w14:textId="295821BF" w:rsidR="006D2209" w:rsidRPr="00840EF5" w:rsidRDefault="006D2209" w:rsidP="006D2209">
            <w:pPr>
              <w:pStyle w:val="ListParagraph"/>
              <w:numPr>
                <w:ilvl w:val="0"/>
                <w:numId w:val="11"/>
              </w:numPr>
              <w:ind w:right="228"/>
              <w:rPr>
                <w:rFonts w:asciiTheme="majorHAnsi" w:hAnsiTheme="majorHAnsi" w:cstheme="majorHAnsi"/>
                <w:color w:val="002060"/>
              </w:rPr>
            </w:pPr>
            <w:r w:rsidRPr="00840EF5">
              <w:rPr>
                <w:rFonts w:asciiTheme="majorHAnsi" w:hAnsiTheme="majorHAnsi" w:cstheme="majorHAnsi"/>
                <w:color w:val="002060"/>
              </w:rPr>
              <w:t>Lead procurement strategies and contract frameworks</w:t>
            </w:r>
            <w:r>
              <w:rPr>
                <w:rFonts w:asciiTheme="majorHAnsi" w:hAnsiTheme="majorHAnsi" w:cstheme="majorHAnsi"/>
                <w:color w:val="002060"/>
              </w:rPr>
              <w:t xml:space="preserve"> in liaison with D</w:t>
            </w:r>
            <w:r w:rsidR="009A59FF">
              <w:rPr>
                <w:rFonts w:asciiTheme="majorHAnsi" w:hAnsiTheme="majorHAnsi" w:cstheme="majorHAnsi"/>
                <w:color w:val="002060"/>
              </w:rPr>
              <w:t xml:space="preserve">irector </w:t>
            </w:r>
            <w:r>
              <w:rPr>
                <w:rFonts w:asciiTheme="majorHAnsi" w:hAnsiTheme="majorHAnsi" w:cstheme="majorHAnsi"/>
                <w:color w:val="002060"/>
              </w:rPr>
              <w:t>o</w:t>
            </w:r>
            <w:r w:rsidR="009A59FF">
              <w:rPr>
                <w:rFonts w:asciiTheme="majorHAnsi" w:hAnsiTheme="majorHAnsi" w:cstheme="majorHAnsi"/>
                <w:color w:val="002060"/>
              </w:rPr>
              <w:t xml:space="preserve">f </w:t>
            </w:r>
            <w:r>
              <w:rPr>
                <w:rFonts w:asciiTheme="majorHAnsi" w:hAnsiTheme="majorHAnsi" w:cstheme="majorHAnsi"/>
                <w:color w:val="002060"/>
              </w:rPr>
              <w:t>B</w:t>
            </w:r>
            <w:r w:rsidR="009A59FF">
              <w:rPr>
                <w:rFonts w:asciiTheme="majorHAnsi" w:hAnsiTheme="majorHAnsi" w:cstheme="majorHAnsi"/>
                <w:color w:val="002060"/>
              </w:rPr>
              <w:t xml:space="preserve">usiness &amp; </w:t>
            </w:r>
            <w:r>
              <w:rPr>
                <w:rFonts w:asciiTheme="majorHAnsi" w:hAnsiTheme="majorHAnsi" w:cstheme="majorHAnsi"/>
                <w:color w:val="002060"/>
              </w:rPr>
              <w:t>F</w:t>
            </w:r>
            <w:r w:rsidR="009A59FF">
              <w:rPr>
                <w:rFonts w:asciiTheme="majorHAnsi" w:hAnsiTheme="majorHAnsi" w:cstheme="majorHAnsi"/>
                <w:color w:val="002060"/>
              </w:rPr>
              <w:t>inance</w:t>
            </w:r>
            <w:bookmarkStart w:id="1" w:name="_GoBack"/>
            <w:bookmarkEnd w:id="1"/>
          </w:p>
          <w:p w14:paraId="6540C8B8" w14:textId="77777777" w:rsidR="006D2209" w:rsidRPr="00840EF5" w:rsidRDefault="006D2209" w:rsidP="006D2209">
            <w:pPr>
              <w:pStyle w:val="ListParagraph"/>
              <w:numPr>
                <w:ilvl w:val="0"/>
                <w:numId w:val="11"/>
              </w:numPr>
              <w:ind w:right="228"/>
              <w:rPr>
                <w:rFonts w:asciiTheme="majorHAnsi" w:hAnsiTheme="majorHAnsi" w:cstheme="majorHAnsi"/>
                <w:color w:val="002060"/>
              </w:rPr>
            </w:pPr>
            <w:r w:rsidRPr="00840EF5">
              <w:rPr>
                <w:rFonts w:asciiTheme="majorHAnsi" w:hAnsiTheme="majorHAnsi" w:cstheme="majorHAnsi"/>
                <w:color w:val="002060"/>
              </w:rPr>
              <w:t>Ensure value for money and compliance with procurement regulations</w:t>
            </w:r>
          </w:p>
          <w:p w14:paraId="01611ECD" w14:textId="77777777" w:rsidR="006D2209" w:rsidRPr="00840EF5" w:rsidRDefault="006D2209" w:rsidP="006D2209">
            <w:pPr>
              <w:pStyle w:val="ListParagraph"/>
              <w:numPr>
                <w:ilvl w:val="0"/>
                <w:numId w:val="11"/>
              </w:numPr>
              <w:ind w:right="228"/>
              <w:rPr>
                <w:rFonts w:asciiTheme="majorHAnsi" w:hAnsiTheme="majorHAnsi" w:cstheme="majorHAnsi"/>
                <w:color w:val="002060"/>
              </w:rPr>
            </w:pPr>
            <w:r>
              <w:rPr>
                <w:rFonts w:asciiTheme="majorHAnsi" w:hAnsiTheme="majorHAnsi" w:cstheme="majorHAnsi"/>
                <w:color w:val="002060"/>
              </w:rPr>
              <w:t>Gain a</w:t>
            </w:r>
            <w:r w:rsidRPr="00840EF5">
              <w:rPr>
                <w:rFonts w:asciiTheme="majorHAnsi" w:hAnsiTheme="majorHAnsi" w:cstheme="majorHAnsi"/>
                <w:color w:val="002060"/>
              </w:rPr>
              <w:t>pprov</w:t>
            </w:r>
            <w:r>
              <w:rPr>
                <w:rFonts w:asciiTheme="majorHAnsi" w:hAnsiTheme="majorHAnsi" w:cstheme="majorHAnsi"/>
                <w:color w:val="002060"/>
              </w:rPr>
              <w:t>al for</w:t>
            </w:r>
            <w:r w:rsidRPr="00840EF5">
              <w:rPr>
                <w:rFonts w:asciiTheme="majorHAnsi" w:hAnsiTheme="majorHAnsi" w:cstheme="majorHAnsi"/>
                <w:color w:val="002060"/>
              </w:rPr>
              <w:t xml:space="preserve"> major spend and contract awards</w:t>
            </w:r>
            <w:r>
              <w:rPr>
                <w:rFonts w:asciiTheme="majorHAnsi" w:hAnsiTheme="majorHAnsi" w:cstheme="majorHAnsi"/>
                <w:color w:val="002060"/>
              </w:rPr>
              <w:t xml:space="preserve"> within procurement and financial policies</w:t>
            </w:r>
          </w:p>
          <w:p w14:paraId="05E75DCA" w14:textId="09BD6010" w:rsidR="006D2209" w:rsidRPr="00CC2B13" w:rsidRDefault="006D2209" w:rsidP="006D2209">
            <w:pPr>
              <w:spacing w:after="0"/>
              <w:ind w:left="0" w:right="228" w:firstLine="0"/>
              <w:rPr>
                <w:rFonts w:asciiTheme="majorHAnsi" w:hAnsiTheme="majorHAnsi" w:cstheme="majorHAnsi"/>
                <w:b/>
                <w:bCs/>
                <w:color w:val="002060"/>
              </w:rPr>
            </w:pPr>
            <w:r w:rsidRPr="00BF21F5">
              <w:rPr>
                <w:rFonts w:asciiTheme="majorHAnsi" w:hAnsiTheme="majorHAnsi" w:cstheme="majorHAnsi"/>
                <w:b/>
                <w:bCs/>
                <w:color w:val="002060"/>
              </w:rPr>
              <w:t>Sustainability &amp; Environmental Management</w:t>
            </w:r>
          </w:p>
          <w:p w14:paraId="4A9D25BB" w14:textId="6FCA77A1" w:rsidR="006D2209" w:rsidRPr="006D2209" w:rsidRDefault="006D2209" w:rsidP="006D2209">
            <w:pPr>
              <w:pStyle w:val="ListParagraph"/>
              <w:numPr>
                <w:ilvl w:val="0"/>
                <w:numId w:val="12"/>
              </w:numPr>
              <w:ind w:right="228"/>
              <w:rPr>
                <w:rFonts w:asciiTheme="majorHAnsi" w:hAnsiTheme="majorHAnsi" w:cstheme="majorHAnsi"/>
                <w:color w:val="002060"/>
              </w:rPr>
            </w:pPr>
            <w:r w:rsidRPr="006D2209">
              <w:rPr>
                <w:rFonts w:asciiTheme="majorHAnsi" w:hAnsiTheme="majorHAnsi" w:cstheme="majorHAnsi"/>
                <w:color w:val="002060"/>
              </w:rPr>
              <w:t>To undertake the role of ‘sustainability lead’ for the Trust, in line with the DfE’s ‘Sustainability and climate change: a strategy for the education and children’s services systems’. Work with school leaders to ensure a co-ordinated Trust-wide approach to, and culture of, sustainability.</w:t>
            </w:r>
            <w:r>
              <w:rPr>
                <w:rFonts w:asciiTheme="majorHAnsi" w:hAnsiTheme="majorHAnsi" w:cstheme="majorHAnsi"/>
                <w:color w:val="002060"/>
              </w:rPr>
              <w:t xml:space="preserve"> </w:t>
            </w:r>
            <w:r w:rsidRPr="006D2209">
              <w:rPr>
                <w:rFonts w:asciiTheme="majorHAnsi" w:hAnsiTheme="majorHAnsi" w:cstheme="majorHAnsi"/>
                <w:color w:val="002060"/>
              </w:rPr>
              <w:t>Take the lead on creating the Trust’s climate action plan, and co-ordinate actions to ensure that we deliver the plan.</w:t>
            </w:r>
          </w:p>
          <w:p w14:paraId="1805D485" w14:textId="77777777" w:rsidR="006D2209" w:rsidRPr="001D224E" w:rsidRDefault="006D2209" w:rsidP="006D2209">
            <w:pPr>
              <w:pStyle w:val="ListParagraph"/>
              <w:numPr>
                <w:ilvl w:val="0"/>
                <w:numId w:val="12"/>
              </w:numPr>
              <w:ind w:right="228"/>
              <w:rPr>
                <w:rFonts w:asciiTheme="majorHAnsi" w:hAnsiTheme="majorHAnsi" w:cstheme="majorHAnsi"/>
                <w:color w:val="002060"/>
              </w:rPr>
            </w:pPr>
            <w:r w:rsidRPr="001D224E">
              <w:rPr>
                <w:rFonts w:asciiTheme="majorHAnsi" w:hAnsiTheme="majorHAnsi" w:cstheme="majorHAnsi"/>
                <w:color w:val="002060"/>
              </w:rPr>
              <w:t>Develop and lead sustainability strategy and carbon reduction plans</w:t>
            </w:r>
          </w:p>
          <w:p w14:paraId="32B6B1E4" w14:textId="77777777" w:rsidR="006D2209" w:rsidRPr="001D224E" w:rsidRDefault="006D2209" w:rsidP="006D2209">
            <w:pPr>
              <w:pStyle w:val="ListParagraph"/>
              <w:numPr>
                <w:ilvl w:val="0"/>
                <w:numId w:val="12"/>
              </w:numPr>
              <w:ind w:right="228"/>
              <w:rPr>
                <w:rFonts w:asciiTheme="majorHAnsi" w:hAnsiTheme="majorHAnsi" w:cstheme="majorHAnsi"/>
                <w:color w:val="002060"/>
              </w:rPr>
            </w:pPr>
            <w:r w:rsidRPr="001D224E">
              <w:rPr>
                <w:rFonts w:asciiTheme="majorHAnsi" w:hAnsiTheme="majorHAnsi" w:cstheme="majorHAnsi"/>
                <w:color w:val="002060"/>
              </w:rPr>
              <w:t>Set targets for energy, water, and waste reduction</w:t>
            </w:r>
          </w:p>
          <w:p w14:paraId="25D33B8C" w14:textId="77777777" w:rsidR="006D2209" w:rsidRPr="00BF21F5" w:rsidRDefault="006D2209" w:rsidP="006D2209">
            <w:pPr>
              <w:pStyle w:val="ListParagraph"/>
              <w:numPr>
                <w:ilvl w:val="0"/>
                <w:numId w:val="12"/>
              </w:numPr>
              <w:ind w:right="228"/>
              <w:rPr>
                <w:rFonts w:asciiTheme="majorHAnsi" w:hAnsiTheme="majorHAnsi" w:cstheme="majorHAnsi"/>
                <w:color w:val="002060"/>
              </w:rPr>
            </w:pPr>
            <w:r w:rsidRPr="00BF21F5">
              <w:rPr>
                <w:rFonts w:asciiTheme="majorHAnsi" w:hAnsiTheme="majorHAnsi" w:cstheme="majorHAnsi"/>
                <w:color w:val="002060"/>
              </w:rPr>
              <w:t>Identify funding opportunities for sustainability initiatives</w:t>
            </w:r>
          </w:p>
          <w:p w14:paraId="33A02CFF" w14:textId="77777777" w:rsidR="006D2209" w:rsidRPr="00C2718F" w:rsidRDefault="006D2209" w:rsidP="006D2209">
            <w:pPr>
              <w:spacing w:after="0"/>
              <w:ind w:right="228"/>
              <w:rPr>
                <w:rFonts w:asciiTheme="majorHAnsi" w:hAnsiTheme="majorHAnsi" w:cstheme="majorHAnsi"/>
                <w:b/>
                <w:bCs/>
                <w:color w:val="002060"/>
              </w:rPr>
            </w:pPr>
            <w:r w:rsidRPr="00C2718F">
              <w:rPr>
                <w:rFonts w:asciiTheme="majorHAnsi" w:hAnsiTheme="majorHAnsi" w:cstheme="majorHAnsi"/>
                <w:b/>
                <w:bCs/>
                <w:color w:val="002060"/>
              </w:rPr>
              <w:t>Stakeholder Engagement &amp; Reporting</w:t>
            </w:r>
          </w:p>
          <w:p w14:paraId="22EB02E3" w14:textId="77777777" w:rsidR="006D2209" w:rsidRPr="00D40577" w:rsidRDefault="006D2209" w:rsidP="006D2209">
            <w:pPr>
              <w:pStyle w:val="ListParagraph"/>
              <w:numPr>
                <w:ilvl w:val="0"/>
                <w:numId w:val="12"/>
              </w:numPr>
              <w:ind w:right="228"/>
              <w:rPr>
                <w:rFonts w:asciiTheme="majorHAnsi" w:hAnsiTheme="majorHAnsi" w:cstheme="majorHAnsi"/>
                <w:color w:val="002060"/>
              </w:rPr>
            </w:pPr>
            <w:r w:rsidRPr="00D40577">
              <w:rPr>
                <w:rFonts w:asciiTheme="majorHAnsi" w:hAnsiTheme="majorHAnsi" w:cstheme="majorHAnsi"/>
                <w:color w:val="002060"/>
              </w:rPr>
              <w:t>Report to Trust leadership and governance bodies</w:t>
            </w:r>
          </w:p>
          <w:p w14:paraId="2CDA868C" w14:textId="77777777" w:rsidR="006D2209" w:rsidRPr="00D40577" w:rsidRDefault="006D2209" w:rsidP="006D2209">
            <w:pPr>
              <w:pStyle w:val="ListParagraph"/>
              <w:numPr>
                <w:ilvl w:val="0"/>
                <w:numId w:val="12"/>
              </w:numPr>
              <w:ind w:right="228"/>
              <w:rPr>
                <w:rFonts w:asciiTheme="majorHAnsi" w:hAnsiTheme="majorHAnsi" w:cstheme="majorHAnsi"/>
                <w:color w:val="002060"/>
              </w:rPr>
            </w:pPr>
            <w:r w:rsidRPr="00D40577">
              <w:rPr>
                <w:rFonts w:asciiTheme="majorHAnsi" w:hAnsiTheme="majorHAnsi" w:cstheme="majorHAnsi"/>
                <w:color w:val="002060"/>
              </w:rPr>
              <w:t>Provide strategic updates, risks, and performance metrics</w:t>
            </w:r>
          </w:p>
          <w:p w14:paraId="36853EB9" w14:textId="566878A8" w:rsidR="003A0F1D" w:rsidRPr="00D2139B" w:rsidRDefault="006D2209" w:rsidP="006D2209">
            <w:pPr>
              <w:pStyle w:val="ListParagraph"/>
              <w:numPr>
                <w:ilvl w:val="0"/>
                <w:numId w:val="12"/>
              </w:numPr>
              <w:ind w:right="228"/>
              <w:rPr>
                <w:rFonts w:asciiTheme="majorHAnsi" w:hAnsiTheme="majorHAnsi" w:cstheme="majorHAnsi"/>
                <w:color w:val="002060"/>
              </w:rPr>
            </w:pPr>
            <w:r w:rsidRPr="00D40577">
              <w:rPr>
                <w:rFonts w:asciiTheme="majorHAnsi" w:hAnsiTheme="majorHAnsi" w:cstheme="majorHAnsi"/>
                <w:color w:val="002060"/>
              </w:rPr>
              <w:t>Engage with external agencies and regulators</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6D2209">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300EBCE2" w14:textId="2F43D03D" w:rsidR="00FF0A0F" w:rsidRDefault="006D2209" w:rsidP="006D2209">
            <w:pPr>
              <w:pStyle w:val="ListParagraph"/>
              <w:numPr>
                <w:ilvl w:val="0"/>
                <w:numId w:val="1"/>
              </w:numPr>
              <w:ind w:right="228"/>
              <w:jc w:val="both"/>
              <w:rPr>
                <w:rFonts w:asciiTheme="majorHAnsi" w:hAnsiTheme="majorHAnsi" w:cstheme="majorHAnsi"/>
                <w:color w:val="002060"/>
              </w:rPr>
            </w:pPr>
            <w:r>
              <w:rPr>
                <w:rFonts w:asciiTheme="majorHAnsi" w:hAnsiTheme="majorHAnsi" w:cstheme="majorHAnsi"/>
                <w:color w:val="002060"/>
              </w:rPr>
              <w:t>Work collaboratively as part of the trust’s Operational Leadership Team (‘OLT’), alongside the trust’s managers for Finance, IT, Governance</w:t>
            </w:r>
            <w:r>
              <w:rPr>
                <w:rFonts w:asciiTheme="majorHAnsi" w:hAnsiTheme="majorHAnsi" w:cstheme="majorHAnsi"/>
                <w:color w:val="002060"/>
              </w:rPr>
              <w:t xml:space="preserve"> and </w:t>
            </w:r>
            <w:r>
              <w:rPr>
                <w:rFonts w:asciiTheme="majorHAnsi" w:hAnsiTheme="majorHAnsi" w:cstheme="majorHAnsi"/>
                <w:color w:val="002060"/>
              </w:rPr>
              <w:t>HR</w:t>
            </w:r>
            <w:r>
              <w:rPr>
                <w:rFonts w:asciiTheme="majorHAnsi" w:hAnsiTheme="majorHAnsi" w:cstheme="majorHAnsi"/>
                <w:color w:val="002060"/>
              </w:rPr>
              <w:t xml:space="preserve">. </w:t>
            </w:r>
          </w:p>
          <w:p w14:paraId="4070F6AE" w14:textId="77777777" w:rsidR="00FF0A0F" w:rsidRPr="00D2139B" w:rsidRDefault="00FF0A0F" w:rsidP="00263B74">
            <w:pPr>
              <w:ind w:left="277"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77FCE3B2" w14:textId="77777777" w:rsidR="006D2209"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Demonstrable competence in Health &amp; Safety management, supported by a recognised qualification (e.g. NEBOSH Certificate or equivalent) or commitment to achieve within probation, with clear understanding of statutory compliance obligations (e.g. fire safety, asbestos, Legionella, CDM).</w:t>
            </w:r>
          </w:p>
          <w:p w14:paraId="3BB81F72"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 xml:space="preserve">Significant experience in estates / property management, including providing technical leadership across the full estate lifecycle (planning, design, maintenance, and improvement) </w:t>
            </w:r>
          </w:p>
          <w:p w14:paraId="219B34F4"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Proven ability to manage land and buildings across a complex, multi-site environment, ensuring safe, compliant, and operationally effective facilities.</w:t>
            </w:r>
          </w:p>
          <w:p w14:paraId="5A4B34A1"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Strong understanding of statutory compliance management, including maintaining compliance systems, registers, and evidence to ensure legal duties are met and auditable (e.g. PPM, risk assessments, asset data).</w:t>
            </w:r>
          </w:p>
          <w:p w14:paraId="122EE2FA"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Strong IT and digital skills, including use of systems for asset management, compliance tracking, maintenance planning, and reporting, with high standards of data accuracy and record keeping.</w:t>
            </w:r>
          </w:p>
          <w:p w14:paraId="2BC6462C"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Excellent organisational skills with the ability to plan, prioritise and manage programmes of work based on risk, condition and budget.</w:t>
            </w:r>
          </w:p>
          <w:p w14:paraId="707EC60C"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Strong written and verbal communication skills, including:</w:t>
            </w:r>
          </w:p>
          <w:p w14:paraId="4A809FD0" w14:textId="77777777" w:rsidR="006D2209" w:rsidRPr="00E03D6F" w:rsidRDefault="006D2209" w:rsidP="006D2209">
            <w:pPr>
              <w:numPr>
                <w:ilvl w:val="1"/>
                <w:numId w:val="1"/>
              </w:numPr>
              <w:spacing w:after="0"/>
              <w:ind w:right="228"/>
              <w:rPr>
                <w:rFonts w:asciiTheme="majorHAnsi" w:hAnsiTheme="majorHAnsi" w:cstheme="majorHAnsi"/>
                <w:color w:val="002060"/>
              </w:rPr>
            </w:pPr>
            <w:r w:rsidRPr="00E03D6F">
              <w:rPr>
                <w:rFonts w:asciiTheme="majorHAnsi" w:hAnsiTheme="majorHAnsi" w:cstheme="majorHAnsi"/>
                <w:color w:val="002060"/>
              </w:rPr>
              <w:t>Producing policies, procedures, and formal reports</w:t>
            </w:r>
          </w:p>
          <w:p w14:paraId="437FC64E" w14:textId="77777777" w:rsidR="006D2209" w:rsidRPr="00E03D6F" w:rsidRDefault="006D2209" w:rsidP="006D2209">
            <w:pPr>
              <w:numPr>
                <w:ilvl w:val="1"/>
                <w:numId w:val="1"/>
              </w:numPr>
              <w:spacing w:after="0"/>
              <w:ind w:right="228"/>
              <w:rPr>
                <w:rFonts w:asciiTheme="majorHAnsi" w:hAnsiTheme="majorHAnsi" w:cstheme="majorHAnsi"/>
                <w:color w:val="002060"/>
              </w:rPr>
            </w:pPr>
            <w:r w:rsidRPr="00E03D6F">
              <w:rPr>
                <w:rFonts w:asciiTheme="majorHAnsi" w:hAnsiTheme="majorHAnsi" w:cstheme="majorHAnsi"/>
                <w:color w:val="002060"/>
              </w:rPr>
              <w:t>Preparing technical specifications and contract documentation</w:t>
            </w:r>
          </w:p>
          <w:p w14:paraId="17E76CB7" w14:textId="77777777" w:rsidR="006D2209" w:rsidRPr="00E03D6F" w:rsidRDefault="006D2209" w:rsidP="006D2209">
            <w:pPr>
              <w:numPr>
                <w:ilvl w:val="1"/>
                <w:numId w:val="1"/>
              </w:numPr>
              <w:spacing w:after="0"/>
              <w:ind w:right="228"/>
              <w:rPr>
                <w:rFonts w:asciiTheme="majorHAnsi" w:hAnsiTheme="majorHAnsi" w:cstheme="majorHAnsi"/>
                <w:color w:val="002060"/>
              </w:rPr>
            </w:pPr>
            <w:r w:rsidRPr="00E03D6F">
              <w:rPr>
                <w:rFonts w:asciiTheme="majorHAnsi" w:hAnsiTheme="majorHAnsi" w:cstheme="majorHAnsi"/>
                <w:color w:val="002060"/>
              </w:rPr>
              <w:t>Delivering clear presentations, briefings, and training to a wide range of stakeholders</w:t>
            </w:r>
          </w:p>
          <w:p w14:paraId="24425BCF"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Ability to engage effectively with senior leaders, contractors, regulators, and stakeholders, providing assurance and translating technical issues into strategic insight.</w:t>
            </w:r>
          </w:p>
          <w:p w14:paraId="20C8D7F0"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Ability to manage both planned (strategic) and reactive (operational/emergency) estates activity, with sound judgement on escalation and risk management.</w:t>
            </w:r>
          </w:p>
          <w:p w14:paraId="5410CD74"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Experience of managing estates budgets, including revenue and capital planning, procurement, and achieving value for money.</w:t>
            </w:r>
          </w:p>
          <w:p w14:paraId="23A6CEFB"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Ability and willingness to travel across all Trust sites and external locations as required.</w:t>
            </w:r>
          </w:p>
          <w:p w14:paraId="1CE21AFB" w14:textId="77777777" w:rsidR="00C55DA4" w:rsidRDefault="00C55DA4" w:rsidP="00C55DA4">
            <w:pPr>
              <w:pStyle w:val="ListParagraph"/>
              <w:spacing w:after="0" w:line="240" w:lineRule="auto"/>
              <w:ind w:right="228" w:firstLine="0"/>
              <w:rPr>
                <w:rFonts w:asciiTheme="majorHAnsi" w:hAnsiTheme="majorHAnsi" w:cstheme="majorHAnsi"/>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58DF299A"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Professional qualification in Building Surveying, Construction, or Estates/Facilities Management (e.g. RICS, CIOB, IWFM or equivalent).</w:t>
            </w:r>
          </w:p>
          <w:p w14:paraId="044BD81C"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Membership of a relevant professional body (or working towards).</w:t>
            </w:r>
          </w:p>
          <w:p w14:paraId="6CAE5182"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Experience of using Computer-Aided Facilities Management (CAFM) / Asset Management Systems for compliance, maintenance scheduling and performance reporting.</w:t>
            </w:r>
          </w:p>
          <w:p w14:paraId="7679CFED"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Experience of capital project delivery, including procurement, contract management and stakeholder engagement.</w:t>
            </w:r>
          </w:p>
          <w:p w14:paraId="3A2A9FEC"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 xml:space="preserve">Knowledge or experience of sustainability, energy management and carbon reduction within an </w:t>
            </w:r>
            <w:proofErr w:type="gramStart"/>
            <w:r w:rsidRPr="00E03D6F">
              <w:rPr>
                <w:rFonts w:asciiTheme="majorHAnsi" w:hAnsiTheme="majorHAnsi" w:cstheme="majorHAnsi"/>
                <w:color w:val="002060"/>
              </w:rPr>
              <w:t>estates</w:t>
            </w:r>
            <w:proofErr w:type="gramEnd"/>
            <w:r w:rsidRPr="00E03D6F">
              <w:rPr>
                <w:rFonts w:asciiTheme="majorHAnsi" w:hAnsiTheme="majorHAnsi" w:cstheme="majorHAnsi"/>
                <w:color w:val="002060"/>
              </w:rPr>
              <w:t xml:space="preserve"> context</w:t>
            </w:r>
          </w:p>
          <w:p w14:paraId="1045FF13"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CAD skills or ability to interpret technical drawings.</w:t>
            </w:r>
          </w:p>
          <w:p w14:paraId="68572350"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 xml:space="preserve">Experience of using </w:t>
            </w:r>
            <w:proofErr w:type="spellStart"/>
            <w:r w:rsidRPr="00E03D6F">
              <w:rPr>
                <w:rFonts w:asciiTheme="majorHAnsi" w:hAnsiTheme="majorHAnsi" w:cstheme="majorHAnsi"/>
                <w:color w:val="002060"/>
              </w:rPr>
              <w:t>Civica</w:t>
            </w:r>
            <w:proofErr w:type="spellEnd"/>
            <w:r w:rsidRPr="00E03D6F">
              <w:rPr>
                <w:rFonts w:asciiTheme="majorHAnsi" w:hAnsiTheme="majorHAnsi" w:cstheme="majorHAnsi"/>
                <w:color w:val="002060"/>
              </w:rPr>
              <w:t xml:space="preserve"> or similar education estates systems.</w:t>
            </w:r>
          </w:p>
          <w:p w14:paraId="71F2A2BB" w14:textId="77777777" w:rsidR="006D2209" w:rsidRPr="00E03D6F" w:rsidRDefault="006D2209" w:rsidP="006D2209">
            <w:pPr>
              <w:numPr>
                <w:ilvl w:val="0"/>
                <w:numId w:val="1"/>
              </w:numPr>
              <w:spacing w:after="0"/>
              <w:ind w:right="228"/>
              <w:rPr>
                <w:rFonts w:asciiTheme="majorHAnsi" w:hAnsiTheme="majorHAnsi" w:cstheme="majorHAnsi"/>
                <w:color w:val="002060"/>
              </w:rPr>
            </w:pPr>
            <w:r w:rsidRPr="00E03D6F">
              <w:rPr>
                <w:rFonts w:asciiTheme="majorHAnsi" w:hAnsiTheme="majorHAnsi" w:cstheme="majorHAnsi"/>
                <w:color w:val="002060"/>
              </w:rPr>
              <w:t>Experience within the education sector or public sector estates, with understanding of the regulatory and governance environment.</w:t>
            </w:r>
          </w:p>
          <w:p w14:paraId="75BA21C7" w14:textId="0B2EFEE5" w:rsidR="00C55DA4" w:rsidRPr="006D2209" w:rsidRDefault="006D2209" w:rsidP="006D2209">
            <w:pPr>
              <w:numPr>
                <w:ilvl w:val="0"/>
                <w:numId w:val="1"/>
              </w:numPr>
              <w:spacing w:after="0" w:line="240" w:lineRule="auto"/>
              <w:ind w:right="228"/>
              <w:rPr>
                <w:rFonts w:asciiTheme="majorHAnsi" w:hAnsiTheme="majorHAnsi" w:cstheme="majorHAnsi"/>
                <w:b/>
                <w:color w:val="002060"/>
              </w:rPr>
            </w:pPr>
            <w:r w:rsidRPr="006D2209">
              <w:rPr>
                <w:rFonts w:asciiTheme="majorHAnsi" w:hAnsiTheme="majorHAnsi" w:cstheme="majorHAnsi"/>
                <w:color w:val="002060"/>
              </w:rPr>
              <w:t>Knowledge of local contractor markets within Christchurch / Bournemouth and surrounding areas.</w:t>
            </w:r>
          </w:p>
          <w:p w14:paraId="03844A6E" w14:textId="77777777" w:rsidR="00C55DA4" w:rsidRDefault="00C55DA4" w:rsidP="00153BCE">
            <w:pPr>
              <w:spacing w:after="0" w:line="240" w:lineRule="auto"/>
              <w:ind w:right="228"/>
              <w:rPr>
                <w:rFonts w:asciiTheme="majorHAnsi" w:hAnsiTheme="majorHAnsi" w:cstheme="majorHAnsi"/>
                <w:b/>
                <w:color w:val="002060"/>
              </w:rPr>
            </w:pP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0C7F1A05" w:rsidR="00FB350D" w:rsidRPr="00C229C2" w:rsidRDefault="002F1A9B"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2F1A9B" w:rsidRPr="00E46D70" w14:paraId="2E5B6925" w14:textId="77777777" w:rsidTr="004A5A57">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0A0BAF5" w14:textId="77777777" w:rsidR="002F1A9B" w:rsidRPr="007A32ED" w:rsidRDefault="002F1A9B" w:rsidP="002F1A9B">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2F1A9B" w:rsidRPr="0000710E" w:rsidRDefault="002F1A9B" w:rsidP="00FF0A0F">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29168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90067"/>
    <w:multiLevelType w:val="hybridMultilevel"/>
    <w:tmpl w:val="28A4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27F69"/>
    <w:multiLevelType w:val="hybridMultilevel"/>
    <w:tmpl w:val="9254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22339"/>
    <w:multiLevelType w:val="hybridMultilevel"/>
    <w:tmpl w:val="056E9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34EA2CED"/>
    <w:multiLevelType w:val="hybridMultilevel"/>
    <w:tmpl w:val="775A2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22671C"/>
    <w:multiLevelType w:val="hybridMultilevel"/>
    <w:tmpl w:val="DAF0C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74221C23"/>
    <w:multiLevelType w:val="hybridMultilevel"/>
    <w:tmpl w:val="3C58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542A7"/>
    <w:multiLevelType w:val="multilevel"/>
    <w:tmpl w:val="8766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3A2471"/>
    <w:multiLevelType w:val="multilevel"/>
    <w:tmpl w:val="81E0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1"/>
  </w:num>
  <w:num w:numId="5">
    <w:abstractNumId w:val="10"/>
  </w:num>
  <w:num w:numId="6">
    <w:abstractNumId w:val="7"/>
  </w:num>
  <w:num w:numId="7">
    <w:abstractNumId w:val="9"/>
  </w:num>
  <w:num w:numId="8">
    <w:abstractNumId w:val="8"/>
  </w:num>
  <w:num w:numId="9">
    <w:abstractNumId w:val="4"/>
  </w:num>
  <w:num w:numId="10">
    <w:abstractNumId w:val="5"/>
  </w:num>
  <w:num w:numId="11">
    <w:abstractNumId w:val="3"/>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F7213"/>
    <w:rsid w:val="00150E34"/>
    <w:rsid w:val="00153BCE"/>
    <w:rsid w:val="002F1A9B"/>
    <w:rsid w:val="00380E4B"/>
    <w:rsid w:val="003A0F1D"/>
    <w:rsid w:val="003D753F"/>
    <w:rsid w:val="00425881"/>
    <w:rsid w:val="004373FF"/>
    <w:rsid w:val="00450F45"/>
    <w:rsid w:val="00454F77"/>
    <w:rsid w:val="0048253C"/>
    <w:rsid w:val="00486D12"/>
    <w:rsid w:val="004C7617"/>
    <w:rsid w:val="005060C9"/>
    <w:rsid w:val="005C2FBE"/>
    <w:rsid w:val="006965FC"/>
    <w:rsid w:val="006D2209"/>
    <w:rsid w:val="00717779"/>
    <w:rsid w:val="008B1418"/>
    <w:rsid w:val="009A59FF"/>
    <w:rsid w:val="009C2886"/>
    <w:rsid w:val="00AE7F2E"/>
    <w:rsid w:val="00B32604"/>
    <w:rsid w:val="00C26639"/>
    <w:rsid w:val="00C55DA4"/>
    <w:rsid w:val="00C849C5"/>
    <w:rsid w:val="00CB2D01"/>
    <w:rsid w:val="00CE27FC"/>
    <w:rsid w:val="00D63E62"/>
    <w:rsid w:val="00DC6203"/>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2F1A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0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13" ma:contentTypeDescription="Create a new document." ma:contentTypeScope="" ma:versionID="2cbf9cdb74dc89ba6f6d9ff3ec043cc4">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6a554a3319447f67e546c285ffcc6497"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TaxCatchAll xmlns="bc11d83e-f3cc-40a3-b40f-75707fc3bb1d" xsi:nil="true"/>
    <lcf76f155ced4ddcb4097134ff3c332f xmlns="c43615f9-b002-4472-8ae5-8f57194bd4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37AF0E5E-CCB5-400E-820B-E0E6097DF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DC40-635A-4AD8-824C-3AC7A426B2C0}">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 ds:uri="c43615f9-b002-4472-8ae5-8f57194bd4ee"/>
    <ds:schemaRef ds:uri="bc11d83e-f3cc-40a3-b40f-75707fc3bb1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6186</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3</cp:revision>
  <dcterms:created xsi:type="dcterms:W3CDTF">2026-06-17T16:02:00Z</dcterms:created>
  <dcterms:modified xsi:type="dcterms:W3CDTF">2026-06-17T16:04:00Z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