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C27ED" w14:textId="701EA19B" w:rsidR="00A5476A" w:rsidRPr="00A5476A" w:rsidRDefault="003A0F1D" w:rsidP="00A5476A">
      <w:pPr>
        <w:tabs>
          <w:tab w:val="right" w:pos="9094"/>
        </w:tabs>
        <w:spacing w:after="0" w:line="259" w:lineRule="auto"/>
        <w:ind w:left="0" w:right="0" w:firstLine="0"/>
        <w:rPr>
          <w:rFonts w:asciiTheme="majorHAnsi" w:hAnsiTheme="majorHAnsi" w:cstheme="majorHAnsi"/>
          <w:b/>
          <w:color w:val="44546A" w:themeColor="text2"/>
          <w:sz w:val="36"/>
          <w:szCs w:val="36"/>
          <w:lang w:eastAsia="en-US"/>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2A6A850">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bookmarkStart w:id="0" w:name="_GoBack"/>
      <w:r w:rsidR="00A5476A" w:rsidRPr="00A5476A">
        <w:rPr>
          <w:rFonts w:asciiTheme="majorHAnsi" w:hAnsiTheme="majorHAnsi" w:cstheme="majorHAnsi"/>
          <w:b/>
          <w:color w:val="44546A" w:themeColor="text2"/>
          <w:sz w:val="36"/>
          <w:szCs w:val="36"/>
          <w:lang w:eastAsia="en-US"/>
        </w:rPr>
        <w:t xml:space="preserve">Positive </w:t>
      </w:r>
      <w:r w:rsidR="00B376A9">
        <w:rPr>
          <w:rFonts w:asciiTheme="majorHAnsi" w:hAnsiTheme="majorHAnsi" w:cstheme="majorHAnsi"/>
          <w:b/>
          <w:color w:val="44546A" w:themeColor="text2"/>
          <w:sz w:val="36"/>
          <w:szCs w:val="36"/>
          <w:lang w:eastAsia="en-US"/>
        </w:rPr>
        <w:t>B</w:t>
      </w:r>
      <w:r w:rsidR="00A5476A" w:rsidRPr="00A5476A">
        <w:rPr>
          <w:rFonts w:asciiTheme="majorHAnsi" w:hAnsiTheme="majorHAnsi" w:cstheme="majorHAnsi"/>
          <w:b/>
          <w:color w:val="44546A" w:themeColor="text2"/>
          <w:sz w:val="36"/>
          <w:szCs w:val="36"/>
          <w:lang w:eastAsia="en-US"/>
        </w:rPr>
        <w:t xml:space="preserve">ehaviour </w:t>
      </w:r>
      <w:r w:rsidR="00B376A9">
        <w:rPr>
          <w:rFonts w:asciiTheme="majorHAnsi" w:hAnsiTheme="majorHAnsi" w:cstheme="majorHAnsi"/>
          <w:b/>
          <w:color w:val="44546A" w:themeColor="text2"/>
          <w:sz w:val="36"/>
          <w:szCs w:val="36"/>
          <w:lang w:eastAsia="en-US"/>
        </w:rPr>
        <w:t>S</w:t>
      </w:r>
      <w:r w:rsidR="00A5476A" w:rsidRPr="00A5476A">
        <w:rPr>
          <w:rFonts w:asciiTheme="majorHAnsi" w:hAnsiTheme="majorHAnsi" w:cstheme="majorHAnsi"/>
          <w:b/>
          <w:color w:val="44546A" w:themeColor="text2"/>
          <w:sz w:val="36"/>
          <w:szCs w:val="36"/>
          <w:lang w:eastAsia="en-US"/>
        </w:rPr>
        <w:t xml:space="preserve">upport </w:t>
      </w:r>
      <w:r w:rsidR="00B376A9">
        <w:rPr>
          <w:rFonts w:asciiTheme="majorHAnsi" w:hAnsiTheme="majorHAnsi" w:cstheme="majorHAnsi"/>
          <w:b/>
          <w:color w:val="44546A" w:themeColor="text2"/>
          <w:sz w:val="36"/>
          <w:szCs w:val="36"/>
          <w:lang w:eastAsia="en-US"/>
        </w:rPr>
        <w:t>P</w:t>
      </w:r>
      <w:r w:rsidR="00A5476A" w:rsidRPr="00A5476A">
        <w:rPr>
          <w:rFonts w:asciiTheme="majorHAnsi" w:hAnsiTheme="majorHAnsi" w:cstheme="majorHAnsi"/>
          <w:b/>
          <w:color w:val="44546A" w:themeColor="text2"/>
          <w:sz w:val="36"/>
          <w:szCs w:val="36"/>
          <w:lang w:eastAsia="en-US"/>
        </w:rPr>
        <w:t>ractitioner</w:t>
      </w:r>
      <w:bookmarkEnd w:id="0"/>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1E5AD0" w:rsidRPr="00A71B1A" w14:paraId="62EEB8B5" w14:textId="77777777" w:rsidTr="00CE27FC">
        <w:trPr>
          <w:trHeight w:val="220"/>
        </w:trPr>
        <w:tc>
          <w:tcPr>
            <w:tcW w:w="1985" w:type="dxa"/>
          </w:tcPr>
          <w:p w14:paraId="604BF60E" w14:textId="38A446F6" w:rsidR="001E5AD0" w:rsidRPr="00E46D7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u w:val="single"/>
              </w:rPr>
              <w:t>Post Details</w:t>
            </w:r>
          </w:p>
        </w:tc>
        <w:tc>
          <w:tcPr>
            <w:tcW w:w="7933" w:type="dxa"/>
          </w:tcPr>
          <w:p w14:paraId="5D2B587E" w14:textId="77777777" w:rsidR="001E5AD0" w:rsidRPr="00A71B1A" w:rsidRDefault="001E5AD0" w:rsidP="001E5AD0">
            <w:pPr>
              <w:spacing w:after="0" w:line="240" w:lineRule="auto"/>
              <w:ind w:right="400" w:firstLine="136"/>
              <w:rPr>
                <w:rFonts w:asciiTheme="majorHAnsi" w:hAnsiTheme="majorHAnsi" w:cstheme="majorHAnsi"/>
                <w:color w:val="002060"/>
              </w:rPr>
            </w:pPr>
          </w:p>
        </w:tc>
      </w:tr>
      <w:tr w:rsidR="001E5AD0" w:rsidRPr="00A71B1A" w14:paraId="07D5B389" w14:textId="77777777" w:rsidTr="0091725A">
        <w:trPr>
          <w:trHeight w:val="250"/>
        </w:trPr>
        <w:tc>
          <w:tcPr>
            <w:tcW w:w="1985" w:type="dxa"/>
          </w:tcPr>
          <w:p w14:paraId="7B30D6E9" w14:textId="542E7F82" w:rsidR="001E5AD0" w:rsidRPr="00E46D70" w:rsidRDefault="001E5AD0"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rPr>
              <w:t>School:</w:t>
            </w:r>
          </w:p>
        </w:tc>
        <w:tc>
          <w:tcPr>
            <w:tcW w:w="7933" w:type="dxa"/>
          </w:tcPr>
          <w:p w14:paraId="1BB19CB6" w14:textId="21C77186" w:rsidR="001E5AD0" w:rsidRPr="00A71B1A" w:rsidRDefault="001E5AD0" w:rsidP="001E5AD0">
            <w:pPr>
              <w:spacing w:after="0" w:line="240" w:lineRule="auto"/>
              <w:ind w:right="400"/>
              <w:rPr>
                <w:rFonts w:asciiTheme="majorHAnsi" w:hAnsiTheme="majorHAnsi" w:cstheme="majorHAnsi"/>
                <w:color w:val="002060"/>
              </w:rPr>
            </w:pPr>
            <w:r w:rsidRPr="00CB155A">
              <w:rPr>
                <w:rFonts w:asciiTheme="majorHAnsi" w:hAnsiTheme="majorHAnsi" w:cstheme="majorHAnsi"/>
                <w:color w:val="002060"/>
              </w:rPr>
              <w:t>T</w:t>
            </w:r>
            <w:r w:rsidR="00524B6E">
              <w:rPr>
                <w:rFonts w:asciiTheme="majorHAnsi" w:hAnsiTheme="majorHAnsi" w:cstheme="majorHAnsi"/>
                <w:color w:val="002060"/>
              </w:rPr>
              <w:t>he Grange School</w:t>
            </w:r>
          </w:p>
        </w:tc>
      </w:tr>
      <w:tr w:rsidR="001E5AD0" w:rsidRPr="00A71B1A" w14:paraId="68727D48" w14:textId="77777777" w:rsidTr="00CE27FC">
        <w:trPr>
          <w:trHeight w:val="220"/>
        </w:trPr>
        <w:tc>
          <w:tcPr>
            <w:tcW w:w="1985" w:type="dxa"/>
          </w:tcPr>
          <w:p w14:paraId="2C5531D6" w14:textId="18403FC1" w:rsidR="001E5AD0" w:rsidRPr="0091725A" w:rsidRDefault="001E5AD0" w:rsidP="001E5AD0">
            <w:pPr>
              <w:spacing w:after="0" w:line="240" w:lineRule="auto"/>
              <w:ind w:left="0" w:firstLine="0"/>
              <w:rPr>
                <w:rFonts w:asciiTheme="majorHAnsi" w:hAnsiTheme="majorHAnsi" w:cstheme="majorHAnsi"/>
                <w:b/>
                <w:color w:val="002060"/>
              </w:rPr>
            </w:pPr>
            <w:r w:rsidRPr="00CB155A">
              <w:rPr>
                <w:rFonts w:asciiTheme="majorHAnsi" w:hAnsiTheme="majorHAnsi" w:cstheme="majorHAnsi"/>
                <w:b/>
                <w:color w:val="002060"/>
              </w:rPr>
              <w:t xml:space="preserve"> Post type:</w:t>
            </w:r>
          </w:p>
        </w:tc>
        <w:tc>
          <w:tcPr>
            <w:tcW w:w="7933" w:type="dxa"/>
          </w:tcPr>
          <w:p w14:paraId="5B65B8E1" w14:textId="2157C674" w:rsidR="001E5AD0" w:rsidRPr="0091725A" w:rsidRDefault="001E5AD0" w:rsidP="001E5AD0">
            <w:pPr>
              <w:spacing w:after="0" w:line="240" w:lineRule="auto"/>
              <w:ind w:right="400"/>
              <w:rPr>
                <w:rFonts w:asciiTheme="majorHAnsi" w:hAnsiTheme="majorHAnsi" w:cstheme="majorHAnsi"/>
                <w:color w:val="002060"/>
              </w:rPr>
            </w:pPr>
            <w:r w:rsidRPr="00CB155A">
              <w:rPr>
                <w:rFonts w:asciiTheme="majorHAnsi" w:hAnsiTheme="majorHAnsi" w:cstheme="majorHAnsi"/>
                <w:color w:val="002060"/>
              </w:rPr>
              <w:t>Support Staff</w:t>
            </w:r>
          </w:p>
        </w:tc>
      </w:tr>
      <w:tr w:rsidR="001E5AD0" w:rsidRPr="00A71B1A" w14:paraId="1B4750D2" w14:textId="77777777" w:rsidTr="00CE27FC">
        <w:trPr>
          <w:trHeight w:val="220"/>
        </w:trPr>
        <w:tc>
          <w:tcPr>
            <w:tcW w:w="1985" w:type="dxa"/>
          </w:tcPr>
          <w:p w14:paraId="0B3D226E" w14:textId="20F259F4" w:rsidR="001E5AD0" w:rsidRPr="0091725A" w:rsidRDefault="001E5AD0" w:rsidP="001E5AD0">
            <w:pPr>
              <w:spacing w:after="0" w:line="240" w:lineRule="auto"/>
              <w:ind w:left="67"/>
              <w:rPr>
                <w:rFonts w:asciiTheme="majorHAnsi" w:hAnsiTheme="majorHAnsi" w:cstheme="majorHAnsi"/>
                <w:color w:val="002060"/>
              </w:rPr>
            </w:pPr>
            <w:r w:rsidRPr="00CB155A">
              <w:rPr>
                <w:rFonts w:asciiTheme="majorHAnsi" w:hAnsiTheme="majorHAnsi" w:cstheme="majorHAnsi"/>
                <w:b/>
                <w:color w:val="002060"/>
              </w:rPr>
              <w:t xml:space="preserve">Grade/Pay Level: </w:t>
            </w:r>
          </w:p>
        </w:tc>
        <w:tc>
          <w:tcPr>
            <w:tcW w:w="7933" w:type="dxa"/>
          </w:tcPr>
          <w:p w14:paraId="435E7F52" w14:textId="13F03CB3" w:rsidR="001E5AD0" w:rsidRPr="0091725A" w:rsidRDefault="001E5AD0" w:rsidP="001E5AD0">
            <w:pPr>
              <w:spacing w:after="0" w:line="240" w:lineRule="auto"/>
              <w:ind w:right="400"/>
              <w:rPr>
                <w:rFonts w:asciiTheme="majorHAnsi" w:hAnsiTheme="majorHAnsi" w:cstheme="majorHAnsi"/>
                <w:color w:val="002060"/>
              </w:rPr>
            </w:pPr>
            <w:r w:rsidRPr="00575DC3">
              <w:rPr>
                <w:rFonts w:asciiTheme="majorHAnsi" w:hAnsiTheme="majorHAnsi" w:cstheme="majorHAnsi"/>
                <w:color w:val="002060"/>
              </w:rPr>
              <w:t xml:space="preserve">Grade </w:t>
            </w:r>
            <w:r w:rsidR="00AA7631">
              <w:rPr>
                <w:rFonts w:asciiTheme="majorHAnsi" w:hAnsiTheme="majorHAnsi" w:cstheme="majorHAnsi"/>
                <w:color w:val="002060"/>
              </w:rPr>
              <w:t>7</w:t>
            </w:r>
          </w:p>
        </w:tc>
      </w:tr>
      <w:tr w:rsidR="00524B6E" w:rsidRPr="00A71B1A" w14:paraId="10FD0053" w14:textId="77777777" w:rsidTr="00CE27FC">
        <w:trPr>
          <w:trHeight w:val="220"/>
        </w:trPr>
        <w:tc>
          <w:tcPr>
            <w:tcW w:w="1985" w:type="dxa"/>
          </w:tcPr>
          <w:p w14:paraId="19F44E93" w14:textId="7B30F994" w:rsidR="00524B6E" w:rsidRDefault="00524B6E" w:rsidP="001E5AD0">
            <w:pPr>
              <w:spacing w:after="0" w:line="240" w:lineRule="auto"/>
              <w:ind w:left="67"/>
              <w:rPr>
                <w:rFonts w:asciiTheme="majorHAnsi" w:hAnsiTheme="majorHAnsi" w:cstheme="majorHAnsi"/>
                <w:b/>
                <w:color w:val="002060"/>
              </w:rPr>
            </w:pPr>
            <w:r w:rsidRPr="00CB155A">
              <w:rPr>
                <w:rFonts w:asciiTheme="majorHAnsi" w:hAnsiTheme="majorHAnsi" w:cstheme="majorHAnsi"/>
                <w:b/>
                <w:color w:val="002060"/>
              </w:rPr>
              <w:t>Responsible to:</w:t>
            </w:r>
          </w:p>
        </w:tc>
        <w:tc>
          <w:tcPr>
            <w:tcW w:w="7933" w:type="dxa"/>
          </w:tcPr>
          <w:p w14:paraId="4C771F6A" w14:textId="20E38A65" w:rsidR="00524B6E" w:rsidRPr="00FB350D" w:rsidRDefault="00524B6E" w:rsidP="001E5AD0">
            <w:pPr>
              <w:spacing w:after="0" w:line="240" w:lineRule="auto"/>
              <w:ind w:right="400"/>
              <w:rPr>
                <w:rFonts w:asciiTheme="majorHAnsi" w:hAnsiTheme="majorHAnsi" w:cstheme="majorHAnsi"/>
                <w:color w:val="002060"/>
              </w:rPr>
            </w:pPr>
            <w:r>
              <w:rPr>
                <w:rFonts w:asciiTheme="majorHAnsi" w:hAnsiTheme="majorHAnsi" w:cstheme="majorHAnsi"/>
                <w:color w:val="002060"/>
              </w:rPr>
              <w:t>Behaviour and Inclusion Manager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5469716E" w14:textId="6338499A" w:rsidR="00DC7763" w:rsidRPr="00DC7763" w:rsidRDefault="00DC7763" w:rsidP="00A06B9E">
            <w:pPr>
              <w:spacing w:after="0" w:line="240" w:lineRule="auto"/>
              <w:ind w:left="11" w:right="0" w:hanging="11"/>
              <w:contextualSpacing/>
              <w:jc w:val="both"/>
              <w:rPr>
                <w:rFonts w:asciiTheme="majorHAnsi" w:hAnsiTheme="majorHAnsi" w:cstheme="majorHAnsi"/>
                <w:color w:val="002060"/>
                <w:lang w:val="en-US"/>
              </w:rPr>
            </w:pPr>
            <w:r w:rsidRPr="00DC7763">
              <w:rPr>
                <w:rFonts w:asciiTheme="majorHAnsi" w:hAnsiTheme="majorHAnsi" w:cstheme="majorHAnsi"/>
                <w:color w:val="002060"/>
                <w:lang w:val="en-US"/>
              </w:rPr>
              <w:t xml:space="preserve">To contribute to the smooth and effective running of the school by working as a key member of the Behaviour Team, </w:t>
            </w:r>
            <w:r w:rsidR="00A06B9E">
              <w:rPr>
                <w:rFonts w:asciiTheme="majorHAnsi" w:hAnsiTheme="majorHAnsi" w:cstheme="majorHAnsi"/>
                <w:color w:val="002060"/>
                <w:lang w:val="en-US"/>
              </w:rPr>
              <w:t xml:space="preserve">who together </w:t>
            </w:r>
            <w:r w:rsidRPr="00DC7763">
              <w:rPr>
                <w:rFonts w:asciiTheme="majorHAnsi" w:hAnsiTheme="majorHAnsi" w:cstheme="majorHAnsi"/>
                <w:color w:val="002060"/>
                <w:lang w:val="en-US"/>
              </w:rPr>
              <w:t>suppor</w:t>
            </w:r>
            <w:r w:rsidR="00A06B9E">
              <w:rPr>
                <w:rFonts w:asciiTheme="majorHAnsi" w:hAnsiTheme="majorHAnsi" w:cstheme="majorHAnsi"/>
                <w:color w:val="002060"/>
                <w:lang w:val="en-US"/>
              </w:rPr>
              <w:t>t</w:t>
            </w:r>
            <w:r w:rsidRPr="00DC7763">
              <w:rPr>
                <w:rFonts w:asciiTheme="majorHAnsi" w:hAnsiTheme="majorHAnsi" w:cstheme="majorHAnsi"/>
                <w:color w:val="002060"/>
                <w:lang w:val="en-US"/>
              </w:rPr>
              <w:t xml:space="preserve"> a consistent, team</w:t>
            </w:r>
            <w:r w:rsidRPr="00DC7763">
              <w:rPr>
                <w:rFonts w:ascii="Cambria Math" w:hAnsi="Cambria Math" w:cs="Cambria Math"/>
                <w:color w:val="002060"/>
                <w:lang w:val="en-US"/>
              </w:rPr>
              <w:t>‑</w:t>
            </w:r>
            <w:r w:rsidRPr="00DC7763">
              <w:rPr>
                <w:rFonts w:asciiTheme="majorHAnsi" w:hAnsiTheme="majorHAnsi" w:cstheme="majorHAnsi"/>
                <w:color w:val="002060"/>
                <w:lang w:val="en-US"/>
              </w:rPr>
              <w:t>based approach to behaviour and ensuring that students receive the guidance they need to get it right. This includes supervising and supporting students displaying challenging behaviour and ensuring that all students are in the right place at the right time throughout the school day.</w:t>
            </w:r>
          </w:p>
          <w:p w14:paraId="08453483" w14:textId="77777777" w:rsidR="00DC7763" w:rsidRDefault="00DC7763" w:rsidP="00A06B9E">
            <w:pPr>
              <w:spacing w:after="0" w:line="240" w:lineRule="auto"/>
              <w:ind w:left="11" w:right="0" w:hanging="11"/>
              <w:contextualSpacing/>
              <w:jc w:val="both"/>
              <w:rPr>
                <w:rFonts w:asciiTheme="majorHAnsi" w:hAnsiTheme="majorHAnsi" w:cstheme="majorHAnsi"/>
                <w:color w:val="002060"/>
                <w:lang w:val="en-US"/>
              </w:rPr>
            </w:pPr>
          </w:p>
          <w:p w14:paraId="6C316BB7" w14:textId="0D68CB20" w:rsidR="00DC7763" w:rsidRPr="00DC7763" w:rsidRDefault="00DC7763" w:rsidP="00A06B9E">
            <w:pPr>
              <w:spacing w:after="0" w:line="240" w:lineRule="auto"/>
              <w:ind w:left="11" w:right="0" w:hanging="11"/>
              <w:contextualSpacing/>
              <w:jc w:val="both"/>
              <w:rPr>
                <w:rFonts w:asciiTheme="majorHAnsi" w:hAnsiTheme="majorHAnsi" w:cstheme="majorHAnsi"/>
                <w:color w:val="002060"/>
                <w:lang w:val="en-US"/>
              </w:rPr>
            </w:pPr>
            <w:r w:rsidRPr="00DC7763">
              <w:rPr>
                <w:rFonts w:asciiTheme="majorHAnsi" w:hAnsiTheme="majorHAnsi" w:cstheme="majorHAnsi"/>
                <w:color w:val="002060"/>
                <w:lang w:val="en-US"/>
              </w:rPr>
              <w:t>To assist with the day</w:t>
            </w:r>
            <w:r w:rsidRPr="00DC7763">
              <w:rPr>
                <w:rFonts w:ascii="Cambria Math" w:hAnsi="Cambria Math" w:cs="Cambria Math"/>
                <w:color w:val="002060"/>
                <w:lang w:val="en-US"/>
              </w:rPr>
              <w:t>‑</w:t>
            </w:r>
            <w:r w:rsidRPr="00DC7763">
              <w:rPr>
                <w:rFonts w:asciiTheme="majorHAnsi" w:hAnsiTheme="majorHAnsi" w:cstheme="majorHAnsi"/>
                <w:color w:val="002060"/>
                <w:lang w:val="en-US"/>
              </w:rPr>
              <w:t>to</w:t>
            </w:r>
            <w:r w:rsidRPr="00DC7763">
              <w:rPr>
                <w:rFonts w:ascii="Cambria Math" w:hAnsi="Cambria Math" w:cs="Cambria Math"/>
                <w:color w:val="002060"/>
                <w:lang w:val="en-US"/>
              </w:rPr>
              <w:t>‑</w:t>
            </w:r>
            <w:r w:rsidRPr="00DC7763">
              <w:rPr>
                <w:rFonts w:asciiTheme="majorHAnsi" w:hAnsiTheme="majorHAnsi" w:cstheme="majorHAnsi"/>
                <w:color w:val="002060"/>
                <w:lang w:val="en-US"/>
              </w:rPr>
              <w:t>day operation of the on</w:t>
            </w:r>
            <w:r w:rsidRPr="00DC7763">
              <w:rPr>
                <w:rFonts w:ascii="Cambria Math" w:hAnsi="Cambria Math" w:cs="Cambria Math"/>
                <w:color w:val="002060"/>
                <w:lang w:val="en-US"/>
              </w:rPr>
              <w:t>‑</w:t>
            </w:r>
            <w:r w:rsidRPr="00DC7763">
              <w:rPr>
                <w:rFonts w:asciiTheme="majorHAnsi" w:hAnsiTheme="majorHAnsi" w:cstheme="majorHAnsi"/>
                <w:color w:val="002060"/>
                <w:lang w:val="en-US"/>
              </w:rPr>
              <w:t>call system and the detention system, ensuring that processes run efficiently and in line with school expectations.</w:t>
            </w:r>
          </w:p>
          <w:p w14:paraId="2CACC8B2" w14:textId="77777777" w:rsidR="00DC7763" w:rsidRDefault="00DC7763" w:rsidP="00A06B9E">
            <w:pPr>
              <w:spacing w:after="0" w:line="240" w:lineRule="auto"/>
              <w:ind w:left="11" w:right="0" w:hanging="11"/>
              <w:contextualSpacing/>
              <w:jc w:val="both"/>
              <w:rPr>
                <w:rFonts w:asciiTheme="majorHAnsi" w:hAnsiTheme="majorHAnsi" w:cstheme="majorHAnsi"/>
                <w:color w:val="002060"/>
                <w:lang w:val="en-US"/>
              </w:rPr>
            </w:pPr>
          </w:p>
          <w:p w14:paraId="3EFE34C1" w14:textId="5951A827" w:rsidR="00DC7763" w:rsidRPr="00DC7763" w:rsidRDefault="00DC7763" w:rsidP="00A06B9E">
            <w:pPr>
              <w:spacing w:after="0" w:line="240" w:lineRule="auto"/>
              <w:ind w:left="11" w:right="0" w:hanging="11"/>
              <w:contextualSpacing/>
              <w:jc w:val="both"/>
              <w:rPr>
                <w:rFonts w:asciiTheme="majorHAnsi" w:hAnsiTheme="majorHAnsi" w:cstheme="majorHAnsi"/>
                <w:color w:val="002060"/>
                <w:lang w:val="en-US"/>
              </w:rPr>
            </w:pPr>
            <w:r w:rsidRPr="00DC7763">
              <w:rPr>
                <w:rFonts w:asciiTheme="majorHAnsi" w:hAnsiTheme="majorHAnsi" w:cstheme="majorHAnsi"/>
                <w:color w:val="002060"/>
                <w:lang w:val="en-US"/>
              </w:rPr>
              <w:t>To provide both strategic and operational support for the Learn &amp; Behave room, helping to maintain a purposeful environment where expectations are reinforced and students are supported effectively.</w:t>
            </w:r>
          </w:p>
          <w:p w14:paraId="14F1D576" w14:textId="77777777" w:rsidR="00DC7763" w:rsidRDefault="00DC7763" w:rsidP="00A06B9E">
            <w:pPr>
              <w:spacing w:after="0" w:line="240" w:lineRule="auto"/>
              <w:ind w:left="0" w:right="228" w:firstLine="0"/>
              <w:rPr>
                <w:rFonts w:asciiTheme="majorHAnsi" w:hAnsiTheme="majorHAnsi" w:cstheme="majorHAnsi"/>
                <w:color w:val="002060"/>
                <w:lang w:val="en-US"/>
              </w:rPr>
            </w:pPr>
          </w:p>
          <w:p w14:paraId="343D066C" w14:textId="1C96BC87" w:rsidR="003A0F1D" w:rsidRPr="008B1418" w:rsidRDefault="00DC7763" w:rsidP="00A06B9E">
            <w:pPr>
              <w:spacing w:after="0" w:line="240" w:lineRule="auto"/>
              <w:ind w:left="0" w:right="228" w:firstLine="0"/>
              <w:rPr>
                <w:rFonts w:asciiTheme="majorHAnsi" w:hAnsiTheme="majorHAnsi" w:cstheme="majorHAnsi"/>
                <w:color w:val="002060"/>
              </w:rPr>
            </w:pPr>
            <w:r w:rsidRPr="00DC7763">
              <w:rPr>
                <w:rFonts w:asciiTheme="majorHAnsi" w:hAnsiTheme="majorHAnsi" w:cstheme="majorHAnsi"/>
                <w:color w:val="002060"/>
                <w:lang w:val="en-US"/>
              </w:rPr>
              <w:t>To help facilitate appropriate access to the Reflect &amp; Achieve room, ensuring that students receive timely intervention, guided reflection, and the support required to reset their behaviour and avoid further escalation.</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1" w:name="_Hlk100068636"/>
            <w:r>
              <w:rPr>
                <w:rFonts w:asciiTheme="majorHAnsi" w:hAnsiTheme="majorHAnsi" w:cstheme="majorHAnsi"/>
                <w:b/>
                <w:color w:val="002060"/>
              </w:rPr>
              <w:t>Duties and Responsibilities</w:t>
            </w:r>
          </w:p>
        </w:tc>
      </w:tr>
      <w:tr w:rsidR="0091725A"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802F9"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To have high expectations of all students.</w:t>
            </w:r>
          </w:p>
          <w:p w14:paraId="38B6DE27" w14:textId="77777777" w:rsidR="001E5AD0" w:rsidRPr="00CB155A" w:rsidRDefault="001E5AD0" w:rsidP="001E5AD0">
            <w:pPr>
              <w:numPr>
                <w:ilvl w:val="0"/>
                <w:numId w:val="9"/>
              </w:numPr>
              <w:spacing w:after="0" w:line="288" w:lineRule="auto"/>
              <w:ind w:right="0"/>
              <w:jc w:val="both"/>
              <w:rPr>
                <w:rFonts w:asciiTheme="majorHAnsi" w:hAnsiTheme="majorHAnsi" w:cstheme="majorHAnsi"/>
                <w:color w:val="002060"/>
                <w:lang w:eastAsia="en-US"/>
              </w:rPr>
            </w:pPr>
            <w:r w:rsidRPr="00CB155A">
              <w:rPr>
                <w:rFonts w:asciiTheme="majorHAnsi" w:hAnsiTheme="majorHAnsi" w:cstheme="majorHAnsi"/>
                <w:color w:val="002060"/>
                <w:lang w:eastAsia="en-US"/>
              </w:rPr>
              <w:t xml:space="preserve">Work as part of a team to raise expectations and behaviour standards. </w:t>
            </w:r>
          </w:p>
          <w:p w14:paraId="5A7553E2" w14:textId="76CCD3CF"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To support senior leaders </w:t>
            </w:r>
            <w:r w:rsidR="00FE4099">
              <w:rPr>
                <w:rFonts w:asciiTheme="majorHAnsi" w:hAnsiTheme="majorHAnsi" w:cstheme="majorHAnsi"/>
                <w:color w:val="002060"/>
                <w:spacing w:val="-1"/>
              </w:rPr>
              <w:t xml:space="preserve">and others within the behaviour team </w:t>
            </w:r>
            <w:r w:rsidRPr="00CB155A">
              <w:rPr>
                <w:rFonts w:asciiTheme="majorHAnsi" w:hAnsiTheme="majorHAnsi" w:cstheme="majorHAnsi"/>
                <w:color w:val="002060"/>
                <w:spacing w:val="-1"/>
              </w:rPr>
              <w:t xml:space="preserve">with the running of the school’s Learn and Behave room, helping to ensure it is the ‘hardest working classroom in the school’. </w:t>
            </w:r>
          </w:p>
          <w:p w14:paraId="621FFD82" w14:textId="410FB8D0"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To be part of the Learn and Behave rota during lessons and social times, </w:t>
            </w:r>
            <w:r w:rsidR="002531FF">
              <w:rPr>
                <w:rFonts w:asciiTheme="majorHAnsi" w:hAnsiTheme="majorHAnsi" w:cstheme="majorHAnsi"/>
                <w:color w:val="002060"/>
                <w:spacing w:val="-1"/>
              </w:rPr>
              <w:t>as required, including during morning</w:t>
            </w:r>
            <w:r w:rsidRPr="00CB155A">
              <w:rPr>
                <w:rFonts w:asciiTheme="majorHAnsi" w:hAnsiTheme="majorHAnsi" w:cstheme="majorHAnsi"/>
                <w:color w:val="002060"/>
                <w:spacing w:val="-1"/>
              </w:rPr>
              <w:t xml:space="preserve"> reg</w:t>
            </w:r>
            <w:r w:rsidR="002531FF">
              <w:rPr>
                <w:rFonts w:asciiTheme="majorHAnsi" w:hAnsiTheme="majorHAnsi" w:cstheme="majorHAnsi"/>
                <w:color w:val="002060"/>
                <w:spacing w:val="-1"/>
              </w:rPr>
              <w:t>istration</w:t>
            </w:r>
            <w:r w:rsidRPr="00CB155A">
              <w:rPr>
                <w:rFonts w:asciiTheme="majorHAnsi" w:hAnsiTheme="majorHAnsi" w:cstheme="majorHAnsi"/>
                <w:color w:val="002060"/>
                <w:spacing w:val="-1"/>
              </w:rPr>
              <w:t xml:space="preserve"> and break time.</w:t>
            </w:r>
          </w:p>
          <w:p w14:paraId="004D6076"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Liaise with staff across Twynham TGS to support the running of the Learn and Behave room. </w:t>
            </w:r>
          </w:p>
          <w:p w14:paraId="337A487D" w14:textId="77777777" w:rsidR="001E5AD0" w:rsidRPr="00CB155A" w:rsidRDefault="001E5AD0" w:rsidP="001E5AD0">
            <w:pPr>
              <w:numPr>
                <w:ilvl w:val="0"/>
                <w:numId w:val="9"/>
              </w:numPr>
              <w:spacing w:after="0" w:line="276" w:lineRule="auto"/>
              <w:ind w:right="0"/>
              <w:jc w:val="both"/>
              <w:rPr>
                <w:rFonts w:asciiTheme="majorHAnsi" w:hAnsiTheme="majorHAnsi" w:cstheme="majorHAnsi"/>
                <w:color w:val="002060"/>
              </w:rPr>
            </w:pPr>
            <w:r w:rsidRPr="00CB155A">
              <w:rPr>
                <w:rFonts w:asciiTheme="majorHAnsi" w:hAnsiTheme="majorHAnsi" w:cstheme="majorHAnsi"/>
                <w:color w:val="002060"/>
              </w:rPr>
              <w:t>To ensure the effectiveness of the Learn and Behave room and the management and upkeep of the resources.</w:t>
            </w:r>
          </w:p>
          <w:p w14:paraId="753BB109"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Be on hand to assist with students who are truanting from lessons.</w:t>
            </w:r>
          </w:p>
          <w:p w14:paraId="0E039564"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To assist with behaviour incidents, including the collection of students and witness statements.</w:t>
            </w:r>
          </w:p>
          <w:p w14:paraId="3A86DF31" w14:textId="77777777" w:rsidR="001E5AD0" w:rsidRPr="00CB155A" w:rsidRDefault="001E5AD0" w:rsidP="001E5AD0">
            <w:pPr>
              <w:numPr>
                <w:ilvl w:val="0"/>
                <w:numId w:val="9"/>
              </w:numPr>
              <w:spacing w:after="0" w:line="288" w:lineRule="auto"/>
              <w:ind w:right="0"/>
              <w:jc w:val="both"/>
              <w:rPr>
                <w:rFonts w:asciiTheme="majorHAnsi" w:hAnsiTheme="majorHAnsi" w:cstheme="majorHAnsi"/>
                <w:color w:val="002060"/>
                <w:lang w:eastAsia="en-US"/>
              </w:rPr>
            </w:pPr>
            <w:r w:rsidRPr="00CB155A">
              <w:rPr>
                <w:rFonts w:asciiTheme="majorHAnsi" w:hAnsiTheme="majorHAnsi" w:cstheme="majorHAnsi"/>
                <w:color w:val="002060"/>
                <w:lang w:eastAsia="en-US"/>
              </w:rPr>
              <w:t>To build positive relationships with pupils to support their learning and to w</w:t>
            </w:r>
            <w:r w:rsidRPr="00CB155A">
              <w:rPr>
                <w:rFonts w:asciiTheme="majorHAnsi" w:hAnsiTheme="majorHAnsi" w:cstheme="majorHAnsi"/>
                <w:color w:val="002060"/>
                <w:spacing w:val="-1"/>
              </w:rPr>
              <w:t>ork with students out of lessons in order to maximise their support or learning.</w:t>
            </w:r>
          </w:p>
          <w:p w14:paraId="632D27AD"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spacing w:val="-1"/>
              </w:rPr>
            </w:pPr>
            <w:r w:rsidRPr="00CB155A">
              <w:rPr>
                <w:rFonts w:asciiTheme="majorHAnsi" w:hAnsiTheme="majorHAnsi" w:cstheme="majorHAnsi"/>
                <w:color w:val="002060"/>
                <w:spacing w:val="-1"/>
              </w:rPr>
              <w:t xml:space="preserve">Liaise between key staff including the Heads of Year, Designated Safeguarding Leads (DSLs), Student Services Team, Curriculum Leaders and the learning support team, attending meetings where necessary to exchange information about students. </w:t>
            </w:r>
          </w:p>
          <w:p w14:paraId="5657FF9F"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lang w:eastAsia="en-US"/>
              </w:rPr>
            </w:pPr>
            <w:r w:rsidRPr="00CB155A">
              <w:rPr>
                <w:rFonts w:asciiTheme="majorHAnsi" w:hAnsiTheme="majorHAnsi" w:cstheme="majorHAnsi"/>
                <w:color w:val="002060"/>
                <w:lang w:eastAsia="en-US"/>
              </w:rPr>
              <w:t>Support the running of the centralised school detention system and help to supervise the after-school centralised detention room, ensuring the atmosphere is appropriate.</w:t>
            </w:r>
          </w:p>
          <w:p w14:paraId="08F6668F" w14:textId="77777777" w:rsidR="001E5AD0" w:rsidRPr="00CB155A" w:rsidRDefault="001E5AD0" w:rsidP="001E5AD0">
            <w:pPr>
              <w:pStyle w:val="ListParagraph"/>
              <w:numPr>
                <w:ilvl w:val="0"/>
                <w:numId w:val="9"/>
              </w:numPr>
              <w:spacing w:after="0" w:line="288" w:lineRule="auto"/>
              <w:rPr>
                <w:rFonts w:asciiTheme="majorHAnsi" w:hAnsiTheme="majorHAnsi" w:cstheme="majorHAnsi"/>
                <w:color w:val="002060"/>
                <w:lang w:eastAsia="en-US"/>
              </w:rPr>
            </w:pPr>
            <w:r w:rsidRPr="00CB155A">
              <w:rPr>
                <w:rFonts w:asciiTheme="majorHAnsi" w:hAnsiTheme="majorHAnsi" w:cstheme="majorHAnsi"/>
                <w:color w:val="002060"/>
                <w:lang w:eastAsia="en-US"/>
              </w:rPr>
              <w:t>Track and monitor behaviour data of those students who have particular pastoral needs to establish where support and intervention is needed.</w:t>
            </w:r>
          </w:p>
          <w:p w14:paraId="6FC92FB9" w14:textId="77777777" w:rsidR="001E5AD0" w:rsidRDefault="001E5AD0" w:rsidP="001E5AD0">
            <w:pPr>
              <w:pStyle w:val="ListParagraph"/>
              <w:numPr>
                <w:ilvl w:val="0"/>
                <w:numId w:val="9"/>
              </w:numPr>
              <w:spacing w:after="0" w:line="288" w:lineRule="auto"/>
              <w:rPr>
                <w:rFonts w:asciiTheme="majorHAnsi" w:hAnsiTheme="majorHAnsi" w:cstheme="majorHAnsi"/>
                <w:color w:val="002060"/>
                <w:lang w:eastAsia="en-US"/>
              </w:rPr>
            </w:pPr>
            <w:r w:rsidRPr="00CB155A">
              <w:rPr>
                <w:rFonts w:asciiTheme="majorHAnsi" w:hAnsiTheme="majorHAnsi" w:cstheme="majorHAnsi"/>
                <w:color w:val="002060"/>
              </w:rPr>
              <w:t xml:space="preserve">To work closely with the Senior Leadership Team and Heads of Year to reduce </w:t>
            </w:r>
            <w:r>
              <w:rPr>
                <w:rFonts w:asciiTheme="majorHAnsi" w:hAnsiTheme="majorHAnsi" w:cstheme="majorHAnsi"/>
                <w:color w:val="002060"/>
              </w:rPr>
              <w:t>suspensions</w:t>
            </w:r>
            <w:r w:rsidRPr="00CB155A">
              <w:rPr>
                <w:rFonts w:asciiTheme="majorHAnsi" w:hAnsiTheme="majorHAnsi" w:cstheme="majorHAnsi"/>
                <w:color w:val="002060"/>
              </w:rPr>
              <w:t>.</w:t>
            </w:r>
          </w:p>
          <w:p w14:paraId="36853EB9" w14:textId="0DC6428B" w:rsidR="0091725A" w:rsidRPr="001E5AD0" w:rsidRDefault="0091725A" w:rsidP="00E25532">
            <w:pPr>
              <w:pStyle w:val="ListParagraph"/>
              <w:spacing w:after="0" w:line="288" w:lineRule="auto"/>
              <w:ind w:firstLine="0"/>
              <w:rPr>
                <w:rFonts w:asciiTheme="majorHAnsi" w:hAnsiTheme="majorHAnsi" w:cstheme="majorHAnsi"/>
                <w:color w:val="002060"/>
              </w:rPr>
            </w:pPr>
          </w:p>
        </w:tc>
      </w:tr>
      <w:bookmarkEnd w:id="1"/>
    </w:tbl>
    <w:p w14:paraId="077B8135" w14:textId="77777777" w:rsidR="004337E6" w:rsidRDefault="004337E6"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lastRenderedPageBreak/>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576A0DC4" w:rsidR="009C3FB9" w:rsidRPr="00D2139B" w:rsidRDefault="008B1418" w:rsidP="00487422">
            <w:pPr>
              <w:pStyle w:val="ListParagraph"/>
              <w:spacing w:after="0" w:line="240" w:lineRule="auto"/>
              <w:ind w:left="703" w:right="228" w:firstLine="0"/>
              <w:rPr>
                <w:rFonts w:asciiTheme="majorHAnsi" w:hAnsiTheme="majorHAnsi" w:cstheme="majorHAnsi"/>
                <w:color w:val="002060"/>
              </w:rPr>
            </w:pPr>
            <w:r w:rsidRPr="009C3FB9">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77777777" w:rsidR="008B1418" w:rsidRDefault="008B1418" w:rsidP="00487422">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4337E6" w:rsidRPr="00E46D70" w14:paraId="5DDDB72A" w14:textId="77777777" w:rsidTr="0061146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FFE67B6" w14:textId="77777777" w:rsidR="004337E6" w:rsidRPr="00E46D70" w:rsidRDefault="004337E6" w:rsidP="0061146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4337E6" w:rsidRPr="00E46D70" w14:paraId="7F568FFD" w14:textId="77777777" w:rsidTr="0061146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0037FFA2" w14:textId="77777777" w:rsidR="004337E6" w:rsidRPr="002531FF" w:rsidRDefault="004337E6" w:rsidP="00611464">
            <w:pPr>
              <w:spacing w:after="0" w:line="240" w:lineRule="auto"/>
              <w:ind w:left="360" w:right="228" w:firstLine="0"/>
              <w:rPr>
                <w:rFonts w:asciiTheme="majorHAnsi" w:hAnsiTheme="majorHAnsi" w:cstheme="majorHAnsi"/>
                <w:color w:val="002060"/>
              </w:rPr>
            </w:pPr>
            <w:r w:rsidRPr="002531FF">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3EB061E5" w14:textId="77777777" w:rsidR="004337E6" w:rsidRDefault="004337E6" w:rsidP="00487422">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137155B8" w:rsidR="003A0F1D" w:rsidRPr="00CC1AAC" w:rsidRDefault="00EE4C1C"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61225" w14:textId="77777777" w:rsidR="001E5AD0" w:rsidRPr="00CB155A" w:rsidRDefault="001E5AD0" w:rsidP="00487422">
            <w:pPr>
              <w:pStyle w:val="ListParagraph"/>
              <w:numPr>
                <w:ilvl w:val="0"/>
                <w:numId w:val="10"/>
              </w:numPr>
              <w:spacing w:after="0" w:line="240" w:lineRule="auto"/>
              <w:ind w:left="557" w:right="228" w:hanging="283"/>
              <w:rPr>
                <w:rFonts w:asciiTheme="majorHAnsi" w:hAnsiTheme="majorHAnsi" w:cstheme="majorHAnsi"/>
                <w:color w:val="002060"/>
              </w:rPr>
            </w:pPr>
            <w:r w:rsidRPr="00CB155A">
              <w:rPr>
                <w:rFonts w:asciiTheme="majorHAnsi" w:hAnsiTheme="majorHAnsi" w:cstheme="majorHAnsi"/>
                <w:color w:val="002060"/>
              </w:rPr>
              <w:t>Experience of working with children of relevant age</w:t>
            </w:r>
          </w:p>
          <w:p w14:paraId="74C2B775" w14:textId="77777777" w:rsidR="001E5AD0" w:rsidRPr="00CB155A" w:rsidRDefault="001E5AD0" w:rsidP="00487422">
            <w:pPr>
              <w:pStyle w:val="ListParagraph"/>
              <w:numPr>
                <w:ilvl w:val="0"/>
                <w:numId w:val="10"/>
              </w:numPr>
              <w:spacing w:after="0" w:line="240" w:lineRule="auto"/>
              <w:ind w:left="557" w:right="228" w:hanging="283"/>
              <w:rPr>
                <w:rFonts w:asciiTheme="majorHAnsi" w:hAnsiTheme="majorHAnsi" w:cstheme="majorHAnsi"/>
                <w:color w:val="002060"/>
              </w:rPr>
            </w:pPr>
            <w:r w:rsidRPr="00CB155A">
              <w:rPr>
                <w:rFonts w:asciiTheme="majorHAnsi" w:hAnsiTheme="majorHAnsi" w:cstheme="majorHAnsi"/>
                <w:color w:val="002060"/>
              </w:rPr>
              <w:t>Experience of working with pupils with additional needs</w:t>
            </w:r>
          </w:p>
          <w:p w14:paraId="6D04EF2C" w14:textId="77777777" w:rsidR="001E5AD0" w:rsidRPr="00CB155A" w:rsidRDefault="001E5AD0" w:rsidP="00487422">
            <w:pPr>
              <w:pStyle w:val="ListParagraph"/>
              <w:numPr>
                <w:ilvl w:val="0"/>
                <w:numId w:val="10"/>
              </w:numPr>
              <w:spacing w:after="0" w:line="240" w:lineRule="auto"/>
              <w:ind w:left="557" w:right="228" w:hanging="283"/>
              <w:rPr>
                <w:rFonts w:asciiTheme="majorHAnsi" w:hAnsiTheme="majorHAnsi" w:cstheme="majorHAnsi"/>
                <w:color w:val="002060"/>
              </w:rPr>
            </w:pPr>
            <w:r w:rsidRPr="00CB155A">
              <w:rPr>
                <w:rFonts w:asciiTheme="majorHAnsi" w:hAnsiTheme="majorHAnsi" w:cstheme="majorHAnsi"/>
                <w:color w:val="002060"/>
              </w:rPr>
              <w:t>Experience of safeguarding policies and procedures</w:t>
            </w:r>
          </w:p>
          <w:p w14:paraId="71586BEF" w14:textId="77777777" w:rsidR="001E5AD0" w:rsidRPr="00CB155A" w:rsidRDefault="001E5AD0" w:rsidP="00487422">
            <w:pPr>
              <w:pStyle w:val="ListParagraph"/>
              <w:numPr>
                <w:ilvl w:val="0"/>
                <w:numId w:val="10"/>
              </w:numPr>
              <w:spacing w:after="0" w:line="240" w:lineRule="auto"/>
              <w:ind w:left="557" w:right="228" w:hanging="283"/>
              <w:rPr>
                <w:rFonts w:asciiTheme="majorHAnsi" w:hAnsiTheme="majorHAnsi" w:cstheme="majorHAnsi"/>
                <w:color w:val="002060"/>
              </w:rPr>
            </w:pPr>
            <w:r w:rsidRPr="00CB155A">
              <w:rPr>
                <w:rFonts w:asciiTheme="majorHAnsi" w:hAnsiTheme="majorHAnsi" w:cstheme="majorHAnsi"/>
                <w:color w:val="002060"/>
              </w:rPr>
              <w:t>Excellent IT skills</w:t>
            </w:r>
          </w:p>
          <w:p w14:paraId="758287B4" w14:textId="77777777" w:rsidR="00487422" w:rsidRPr="00CB155A" w:rsidRDefault="00487422" w:rsidP="00487422">
            <w:pPr>
              <w:pStyle w:val="ListParagraph"/>
              <w:numPr>
                <w:ilvl w:val="0"/>
                <w:numId w:val="10"/>
              </w:numPr>
              <w:spacing w:after="0" w:line="240" w:lineRule="auto"/>
              <w:ind w:left="557" w:right="228" w:hanging="283"/>
              <w:rPr>
                <w:rFonts w:asciiTheme="majorHAnsi" w:hAnsiTheme="majorHAnsi" w:cstheme="majorHAnsi"/>
                <w:color w:val="002060"/>
              </w:rPr>
            </w:pPr>
            <w:r w:rsidRPr="00CB155A">
              <w:rPr>
                <w:rFonts w:asciiTheme="majorHAnsi" w:hAnsiTheme="majorHAnsi" w:cstheme="majorHAnsi"/>
                <w:color w:val="002060"/>
              </w:rPr>
              <w:t>Numeracy and literacy skills equivalent to Adult Basic Skills level 2</w:t>
            </w:r>
          </w:p>
          <w:p w14:paraId="6831A0E4" w14:textId="77777777" w:rsidR="001E5AD0" w:rsidRPr="00CB155A" w:rsidRDefault="001E5AD0" w:rsidP="00487422">
            <w:pPr>
              <w:spacing w:after="0" w:line="240" w:lineRule="auto"/>
              <w:ind w:left="557" w:right="228" w:hanging="283"/>
              <w:rPr>
                <w:rFonts w:asciiTheme="majorHAnsi" w:hAnsiTheme="majorHAnsi" w:cstheme="majorHAnsi"/>
                <w:b/>
                <w:color w:val="002060"/>
              </w:rPr>
            </w:pPr>
          </w:p>
          <w:p w14:paraId="22531BE8" w14:textId="77777777" w:rsidR="001E5AD0" w:rsidRPr="00CB155A" w:rsidRDefault="001E5AD0" w:rsidP="00487422">
            <w:pPr>
              <w:pStyle w:val="ListParagraph"/>
              <w:numPr>
                <w:ilvl w:val="0"/>
                <w:numId w:val="10"/>
              </w:numPr>
              <w:spacing w:after="0" w:line="240" w:lineRule="auto"/>
              <w:ind w:left="557" w:right="228" w:hanging="283"/>
              <w:rPr>
                <w:rFonts w:asciiTheme="majorHAnsi" w:hAnsiTheme="majorHAnsi" w:cstheme="majorHAnsi"/>
                <w:color w:val="002060"/>
              </w:rPr>
            </w:pPr>
            <w:r w:rsidRPr="00CB155A">
              <w:rPr>
                <w:rFonts w:asciiTheme="majorHAnsi" w:hAnsiTheme="majorHAnsi" w:cstheme="majorHAnsi"/>
                <w:color w:val="002060"/>
              </w:rPr>
              <w:t>Working knowledge of relevant policies/codes of practice and awareness of relevant legislation</w:t>
            </w:r>
          </w:p>
          <w:p w14:paraId="69624C60" w14:textId="77777777" w:rsidR="001E5AD0" w:rsidRPr="00CB155A" w:rsidRDefault="001E5AD0" w:rsidP="00487422">
            <w:pPr>
              <w:pStyle w:val="ListParagraph"/>
              <w:numPr>
                <w:ilvl w:val="0"/>
                <w:numId w:val="10"/>
              </w:numPr>
              <w:spacing w:after="0" w:line="240" w:lineRule="auto"/>
              <w:ind w:left="557" w:right="228" w:hanging="283"/>
              <w:rPr>
                <w:rFonts w:asciiTheme="majorHAnsi" w:hAnsiTheme="majorHAnsi" w:cstheme="majorHAnsi"/>
                <w:color w:val="002060"/>
              </w:rPr>
            </w:pPr>
            <w:r w:rsidRPr="00CB155A">
              <w:rPr>
                <w:rFonts w:asciiTheme="majorHAnsi" w:hAnsiTheme="majorHAnsi" w:cstheme="majorHAnsi"/>
                <w:color w:val="002060"/>
              </w:rPr>
              <w:t>Working knowledge of curriculum and other relevant learning programmes</w:t>
            </w:r>
          </w:p>
          <w:p w14:paraId="7B18E872" w14:textId="77777777" w:rsidR="001E5AD0" w:rsidRPr="00CB155A" w:rsidRDefault="001E5AD0" w:rsidP="00487422">
            <w:pPr>
              <w:pStyle w:val="ListParagraph"/>
              <w:numPr>
                <w:ilvl w:val="0"/>
                <w:numId w:val="10"/>
              </w:numPr>
              <w:spacing w:after="0" w:line="240" w:lineRule="auto"/>
              <w:ind w:left="557" w:right="228" w:hanging="283"/>
              <w:rPr>
                <w:rFonts w:asciiTheme="majorHAnsi" w:hAnsiTheme="majorHAnsi" w:cstheme="majorHAnsi"/>
                <w:color w:val="002060"/>
              </w:rPr>
            </w:pPr>
            <w:r w:rsidRPr="00CB155A">
              <w:rPr>
                <w:rFonts w:asciiTheme="majorHAnsi" w:hAnsiTheme="majorHAnsi" w:cstheme="majorHAnsi"/>
                <w:color w:val="002060"/>
              </w:rPr>
              <w:t>Understanding of principles of child development and learning processes and in particular, barriers to learning</w:t>
            </w:r>
          </w:p>
          <w:p w14:paraId="059A5AFF" w14:textId="77777777" w:rsidR="001E5AD0" w:rsidRPr="00CB155A" w:rsidRDefault="001E5AD0" w:rsidP="00487422">
            <w:pPr>
              <w:pStyle w:val="ListParagraph"/>
              <w:numPr>
                <w:ilvl w:val="0"/>
                <w:numId w:val="10"/>
              </w:numPr>
              <w:spacing w:after="0" w:line="240" w:lineRule="auto"/>
              <w:ind w:left="557" w:right="228" w:hanging="283"/>
              <w:rPr>
                <w:rFonts w:asciiTheme="majorHAnsi" w:hAnsiTheme="majorHAnsi" w:cstheme="majorHAnsi"/>
                <w:color w:val="002060"/>
              </w:rPr>
            </w:pPr>
            <w:r w:rsidRPr="00CB155A">
              <w:rPr>
                <w:rFonts w:asciiTheme="majorHAnsi" w:hAnsiTheme="majorHAnsi" w:cstheme="majorHAnsi"/>
                <w:color w:val="002060"/>
              </w:rPr>
              <w:t xml:space="preserve">Developing knowledge of Local Authority, Outside Agencies, local and national organisations which can provide services and activities to support pupils and broaden and enrich their learning </w:t>
            </w:r>
          </w:p>
          <w:p w14:paraId="0DA1AC9A" w14:textId="77777777" w:rsidR="001E5AD0" w:rsidRPr="00CB155A" w:rsidRDefault="001E5AD0" w:rsidP="00487422">
            <w:pPr>
              <w:pStyle w:val="ListParagraph"/>
              <w:numPr>
                <w:ilvl w:val="0"/>
                <w:numId w:val="10"/>
              </w:numPr>
              <w:spacing w:after="0" w:line="240" w:lineRule="auto"/>
              <w:ind w:left="557" w:right="228" w:hanging="283"/>
              <w:rPr>
                <w:rFonts w:asciiTheme="majorHAnsi" w:hAnsiTheme="majorHAnsi" w:cstheme="majorHAnsi"/>
                <w:color w:val="002060"/>
              </w:rPr>
            </w:pPr>
            <w:r w:rsidRPr="00CB155A">
              <w:rPr>
                <w:rFonts w:asciiTheme="majorHAnsi" w:hAnsiTheme="majorHAnsi" w:cstheme="majorHAnsi"/>
                <w:color w:val="002060"/>
              </w:rPr>
              <w:t>Ability to build relationships with children and in particular to motivate children to engage in the learning process</w:t>
            </w:r>
          </w:p>
          <w:p w14:paraId="0E6739C2" w14:textId="77777777" w:rsidR="001E5AD0" w:rsidRPr="00CB155A" w:rsidRDefault="001E5AD0" w:rsidP="00487422">
            <w:pPr>
              <w:pStyle w:val="ListParagraph"/>
              <w:numPr>
                <w:ilvl w:val="0"/>
                <w:numId w:val="10"/>
              </w:numPr>
              <w:spacing w:after="0" w:line="240" w:lineRule="auto"/>
              <w:ind w:left="557" w:right="228" w:hanging="283"/>
              <w:rPr>
                <w:rFonts w:asciiTheme="majorHAnsi" w:hAnsiTheme="majorHAnsi" w:cstheme="majorHAnsi"/>
                <w:b/>
                <w:color w:val="002060"/>
              </w:rPr>
            </w:pPr>
            <w:r w:rsidRPr="00CB155A">
              <w:rPr>
                <w:rFonts w:asciiTheme="majorHAnsi" w:hAnsiTheme="majorHAnsi" w:cstheme="majorHAnsi"/>
                <w:color w:val="002060"/>
              </w:rPr>
              <w:t>Experience of de-escalating situations and making quick decisions about triaging situations.  Ability to work effectively with parents/carers and a range of professionals</w:t>
            </w:r>
          </w:p>
          <w:p w14:paraId="152BC532" w14:textId="2565931E" w:rsidR="00C55DA4" w:rsidRPr="009C3FB9" w:rsidRDefault="00C55DA4" w:rsidP="009C3FB9">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83567F">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487422">
      <w:pPr>
        <w:spacing w:after="0"/>
        <w:jc w:val="both"/>
        <w:rPr>
          <w:rFonts w:asciiTheme="majorHAnsi" w:hAnsiTheme="majorHAnsi" w:cstheme="majorHAnsi"/>
          <w:color w:val="002060"/>
        </w:rPr>
      </w:pPr>
    </w:p>
    <w:tbl>
      <w:tblPr>
        <w:tblStyle w:val="TableGrid"/>
        <w:tblW w:w="10632" w:type="dxa"/>
        <w:tblInd w:w="-147" w:type="dxa"/>
        <w:tblCellMar>
          <w:top w:w="22" w:type="dxa"/>
          <w:right w:w="45" w:type="dxa"/>
        </w:tblCellMar>
        <w:tblLook w:val="04A0" w:firstRow="1" w:lastRow="0" w:firstColumn="1" w:lastColumn="0" w:noHBand="0" w:noVBand="1"/>
      </w:tblPr>
      <w:tblGrid>
        <w:gridCol w:w="10632"/>
      </w:tblGrid>
      <w:tr w:rsidR="0083567F" w:rsidRPr="00C229C2" w14:paraId="5CA527DF" w14:textId="77777777" w:rsidTr="0083567F">
        <w:trPr>
          <w:trHeight w:val="48"/>
        </w:trPr>
        <w:tc>
          <w:tcPr>
            <w:tcW w:w="1063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802C0A4" w14:textId="77777777" w:rsidR="0083567F" w:rsidRPr="00C229C2" w:rsidRDefault="0083567F" w:rsidP="00611464">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83567F" w:rsidRPr="0043509E" w14:paraId="1F8798FB" w14:textId="77777777" w:rsidTr="0083567F">
        <w:trPr>
          <w:trHeight w:val="662"/>
        </w:trPr>
        <w:tc>
          <w:tcPr>
            <w:tcW w:w="10632" w:type="dxa"/>
            <w:tcBorders>
              <w:top w:val="single" w:sz="4" w:space="0" w:color="000000"/>
              <w:left w:val="single" w:sz="4" w:space="0" w:color="000000"/>
              <w:bottom w:val="single" w:sz="4" w:space="0" w:color="000000"/>
              <w:right w:val="single" w:sz="4" w:space="0" w:color="000000"/>
            </w:tcBorders>
          </w:tcPr>
          <w:p w14:paraId="46F77D1D" w14:textId="77777777" w:rsidR="0083567F" w:rsidRPr="0043509E" w:rsidRDefault="0083567F" w:rsidP="00611464">
            <w:pPr>
              <w:pStyle w:val="ListParagraph"/>
              <w:numPr>
                <w:ilvl w:val="0"/>
                <w:numId w:val="2"/>
              </w:numPr>
              <w:spacing w:after="0" w:line="240" w:lineRule="auto"/>
              <w:ind w:right="0"/>
              <w:rPr>
                <w:rFonts w:asciiTheme="majorHAnsi" w:hAnsiTheme="majorHAnsi" w:cstheme="majorHAnsi"/>
                <w:color w:val="002060"/>
              </w:rPr>
            </w:pPr>
            <w:r>
              <w:rPr>
                <w:rFonts w:ascii="Calibri Light" w:hAnsi="Calibri Light" w:cs="Calibri Light"/>
                <w:color w:val="002060"/>
              </w:rPr>
              <w:t xml:space="preserve">Explanations of any abbreviations or jargon contained in this job description can be found in our </w:t>
            </w:r>
            <w:hyperlink r:id="rId10"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tc>
      </w:tr>
    </w:tbl>
    <w:p w14:paraId="62E6D6A8" w14:textId="77777777" w:rsidR="005C2FBE" w:rsidRDefault="005C2FBE" w:rsidP="0083567F">
      <w:pPr>
        <w:jc w:val="both"/>
      </w:pPr>
    </w:p>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056FC"/>
    <w:multiLevelType w:val="hybridMultilevel"/>
    <w:tmpl w:val="82C418E4"/>
    <w:lvl w:ilvl="0" w:tplc="00F066A8">
      <w:start w:val="27"/>
      <w:numFmt w:val="bullet"/>
      <w:lvlText w:val="•"/>
      <w:lvlJc w:val="left"/>
      <w:pPr>
        <w:ind w:left="1080" w:hanging="720"/>
      </w:pPr>
      <w:rPr>
        <w:rFonts w:ascii="Calibri Light" w:eastAsia="Calibr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35AE1E09"/>
    <w:multiLevelType w:val="hybridMultilevel"/>
    <w:tmpl w:val="CCB4D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00149"/>
    <w:multiLevelType w:val="hybridMultilevel"/>
    <w:tmpl w:val="046AB7D8"/>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8"/>
  </w:num>
  <w:num w:numId="6">
    <w:abstractNumId w:val="5"/>
  </w:num>
  <w:num w:numId="7">
    <w:abstractNumId w:val="9"/>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150E34"/>
    <w:rsid w:val="00162C41"/>
    <w:rsid w:val="00177E28"/>
    <w:rsid w:val="001E5AD0"/>
    <w:rsid w:val="002531FF"/>
    <w:rsid w:val="002E67F0"/>
    <w:rsid w:val="00334C23"/>
    <w:rsid w:val="003A0F1D"/>
    <w:rsid w:val="003D753F"/>
    <w:rsid w:val="00407957"/>
    <w:rsid w:val="00425881"/>
    <w:rsid w:val="004337E6"/>
    <w:rsid w:val="004373FF"/>
    <w:rsid w:val="00450F45"/>
    <w:rsid w:val="00486D12"/>
    <w:rsid w:val="00487422"/>
    <w:rsid w:val="004944E2"/>
    <w:rsid w:val="004C7617"/>
    <w:rsid w:val="00524B6E"/>
    <w:rsid w:val="00577334"/>
    <w:rsid w:val="005C2FBE"/>
    <w:rsid w:val="00662177"/>
    <w:rsid w:val="006965FC"/>
    <w:rsid w:val="00717779"/>
    <w:rsid w:val="0083567F"/>
    <w:rsid w:val="008B1418"/>
    <w:rsid w:val="0091725A"/>
    <w:rsid w:val="00923492"/>
    <w:rsid w:val="00930F3D"/>
    <w:rsid w:val="009665E9"/>
    <w:rsid w:val="009C3FB9"/>
    <w:rsid w:val="00A06B9E"/>
    <w:rsid w:val="00A5476A"/>
    <w:rsid w:val="00A86843"/>
    <w:rsid w:val="00AA7631"/>
    <w:rsid w:val="00B32604"/>
    <w:rsid w:val="00B376A9"/>
    <w:rsid w:val="00C15AB5"/>
    <w:rsid w:val="00C55DA4"/>
    <w:rsid w:val="00CB2D01"/>
    <w:rsid w:val="00CD58E1"/>
    <w:rsid w:val="00CE27FC"/>
    <w:rsid w:val="00D0738B"/>
    <w:rsid w:val="00D15E91"/>
    <w:rsid w:val="00D81D08"/>
    <w:rsid w:val="00DC6203"/>
    <w:rsid w:val="00DC7763"/>
    <w:rsid w:val="00DF0530"/>
    <w:rsid w:val="00E25532"/>
    <w:rsid w:val="00EC7AE9"/>
    <w:rsid w:val="00ED1A9B"/>
    <w:rsid w:val="00EE4C1C"/>
    <w:rsid w:val="00FB350D"/>
    <w:rsid w:val="00FE4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8356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20600">
      <w:bodyDiv w:val="1"/>
      <w:marLeft w:val="0"/>
      <w:marRight w:val="0"/>
      <w:marTop w:val="0"/>
      <w:marBottom w:val="0"/>
      <w:divBdr>
        <w:top w:val="none" w:sz="0" w:space="0" w:color="auto"/>
        <w:left w:val="none" w:sz="0" w:space="0" w:color="auto"/>
        <w:bottom w:val="none" w:sz="0" w:space="0" w:color="auto"/>
        <w:right w:val="none" w:sz="0" w:space="0" w:color="auto"/>
      </w:divBdr>
    </w:div>
    <w:div w:id="12491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twynhamlearning.com/1038/twynham-learning-glossary?search=glossar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6678459cdd4ce334c9e666fde4ba83e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65073390a0f6dc1cd2bd443225521a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3DC40-635A-4AD8-824C-3AC7A426B2C0}">
  <ds:schemaRefs>
    <ds:schemaRef ds:uri="http://purl.org/dc/elements/1.1/"/>
    <ds:schemaRef ds:uri="http://purl.org/dc/terms/"/>
    <ds:schemaRef ds:uri="c43615f9-b002-4472-8ae5-8f57194bd4ee"/>
    <ds:schemaRef ds:uri="http://schemas.microsoft.com/office/2006/documentManagement/types"/>
    <ds:schemaRef ds:uri="http://schemas.microsoft.com/office/infopath/2007/PartnerControls"/>
    <ds:schemaRef ds:uri="http://schemas.openxmlformats.org/package/2006/metadata/core-properties"/>
    <ds:schemaRef ds:uri="bc11d83e-f3cc-40a3-b40f-75707fc3bb1d"/>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90ADEC04-F00D-4542-B0DD-7A90FB5B8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2C44B-6052-4056-9CD5-F13DB148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4192</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2</cp:revision>
  <dcterms:created xsi:type="dcterms:W3CDTF">2026-03-19T14:36:00Z</dcterms:created>
  <dcterms:modified xsi:type="dcterms:W3CDTF">2026-03-19T14:36:00Z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