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b w:val="1"/>
          <w:bCs w:val="1"/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Person Specification: SENCO/Inclusion Lead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b w:val="1"/>
          <w:bCs w:val="1"/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b w:val="1"/>
          <w:bCs w:val="1"/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Qualifications and Training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hd w:fill="ffffff" w:val="clear"/>
        <w:spacing w:before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Qualified teacher status.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hd w:fill="ffffff" w:val="clear"/>
        <w:spacing w:after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Evidence of professional development relevant to this role.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hd w:fill="ffffff" w:val="clear"/>
        <w:spacing w:after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NPQ SENCO or NASENCO or willing to qualify within statutory time frame.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b w:val="1"/>
          <w:bCs w:val="1"/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before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Successful teaching experience.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Experience of working with children with SEND.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b w:val="1"/>
          <w:bCs w:val="1"/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Skills and Knowledge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before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Good knowledge of SEND legislation and guidance.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Excellent communication and organisational skills.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Ability to build effective working relationships with pupils, parents, and staff.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b w:val="1"/>
          <w:bCs w:val="1"/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Personal Qualities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before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High expectations for all pupils.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Commitment to upholding and promoting the ethos and values of the school.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240" w:lineRule="auto"/>
        <w:ind w:left="720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Ability to work under pressure and prioritise effectively.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PjECb0G1WckFu5C6Tfy/OhYa3w==">CgMxLjA4AHIhMU8xWE5DQlVYMUxkbXFIdEh5TTR5TTNGeUI1NFdOMzBF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